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11.04.20</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C 45</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pPr>
        <w:pStyle w:val="195"/>
        <w:framePr/>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rPr>
        <w:t>32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pPr>
        <w:pStyle w:val="196"/>
        <w:framePr/>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0"/>
        <w:framePr w:w="9639" w:h="6976" w:hRule="exact" w:hSpace="0" w:vSpace="0" w:wrap="around" w:hAnchor="page" w:y="6408"/>
        <w:jc w:val="center"/>
        <w:rPr>
          <w:rFonts w:ascii="黑体" w:hAnsi="黑体" w:eastAsia="黑体"/>
          <w:b w:val="0"/>
          <w:bCs w:val="0"/>
          <w:w w:val="100"/>
        </w:rPr>
      </w:pPr>
    </w:p>
    <w:p>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成人危重症临床护理技术规范</w:t>
      </w:r>
    </w:p>
    <w:p>
      <w:pPr>
        <w:pStyle w:val="197"/>
        <w:framePr w:h="6974" w:hRule="exact" w:wrap="around" w:x="1419" w:anchorLock="1"/>
      </w:pPr>
      <w:r>
        <w:rPr>
          <w:rFonts w:hint="eastAsia"/>
        </w:rPr>
        <w:t>第</w:t>
      </w:r>
      <w:r>
        <w:t>3部分：有创动脉血压监测</w:t>
      </w:r>
      <w:r>
        <w:fldChar w:fldCharType="end"/>
      </w:r>
      <w:bookmarkEnd w:id="9"/>
    </w:p>
    <w:p>
      <w:pPr>
        <w:framePr w:w="9639" w:h="6974" w:hRule="exact" w:wrap="around" w:vAnchor="page" w:hAnchor="page" w:x="1419" w:y="6408" w:anchorLock="1"/>
        <w:ind w:left="-1418"/>
      </w:pPr>
    </w:p>
    <w:p>
      <w:pPr>
        <w:pStyle w:val="125"/>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10"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echnical specifications for clinical nursing of adult critical illness</w:t>
      </w:r>
      <w:r>
        <w:rPr>
          <w:rFonts w:hint="eastAsia" w:ascii="黑体" w:hAnsi="黑体" w:eastAsia="黑体"/>
          <w:szCs w:val="28"/>
        </w:rPr>
        <w:t xml:space="preserve"> </w:t>
      </w:r>
    </w:p>
    <w:p>
      <w:pPr>
        <w:pStyle w:val="125"/>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t>Part 3: Nursing technique for invasive arterial blood pressure monitoring</w:t>
      </w:r>
      <w:r>
        <w:rPr>
          <w:rFonts w:ascii="黑体" w:hAnsi="黑体" w:eastAsia="黑体"/>
          <w:szCs w:val="28"/>
        </w:rPr>
        <w:fldChar w:fldCharType="end"/>
      </w:r>
      <w:bookmarkEnd w:id="10"/>
    </w:p>
    <w:p>
      <w:pPr>
        <w:framePr w:w="9639" w:h="6974" w:hRule="exact" w:wrap="around" w:vAnchor="page" w:hAnchor="page" w:x="1419" w:y="6408" w:anchorLock="1"/>
        <w:spacing w:line="760" w:lineRule="exact"/>
        <w:ind w:left="-1418"/>
      </w:pPr>
    </w:p>
    <w:p>
      <w:pPr>
        <w:pStyle w:val="125"/>
        <w:framePr w:w="9639" w:h="6974" w:hRule="exact" w:wrap="around" w:vAnchor="page" w:hAnchor="page" w:x="1419" w:y="6408" w:anchorLock="1"/>
        <w:textAlignment w:val="bottom"/>
        <w:rPr>
          <w:rFonts w:eastAsia="黑体"/>
          <w:szCs w:val="28"/>
        </w:rPr>
      </w:pPr>
    </w:p>
    <w:p>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5"/>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rFonts w:hint="eastAsia"/>
          <w:sz w:val="21"/>
          <w:szCs w:val="28"/>
        </w:rPr>
        <w:t>（本草案完成时间：2023年11月20日）</w:t>
      </w:r>
      <w:r>
        <w:rPr>
          <w:sz w:val="21"/>
          <w:szCs w:val="28"/>
        </w:rPr>
        <w:fldChar w:fldCharType="end"/>
      </w:r>
      <w:bookmarkEnd w:id="12"/>
    </w:p>
    <w:p>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江苏省市场监督管理局</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91"/>
        <w:spacing w:after="468"/>
      </w:pPr>
      <w:bookmarkStart w:id="21" w:name="BookMark1"/>
      <w:r>
        <w:rPr>
          <w:spacing w:val="320"/>
        </w:rPr>
        <w:t>目</w:t>
      </w:r>
      <w:r>
        <w:t>次</w:t>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"_Toc170333628" </w:instrText>
      </w:r>
      <w:r>
        <w:fldChar w:fldCharType="separate"/>
      </w:r>
      <w:r>
        <w:rPr>
          <w:rStyle w:val="32"/>
          <w:spacing w:val="320"/>
        </w:rPr>
        <w:t>前</w:t>
      </w:r>
      <w:r>
        <w:rPr>
          <w:rStyle w:val="32"/>
        </w:rPr>
        <w:t>言</w:t>
      </w:r>
      <w:r>
        <w:tab/>
      </w:r>
      <w:r>
        <w:fldChar w:fldCharType="begin"/>
      </w:r>
      <w:r>
        <w:instrText xml:space="preserve"> PAGEREF _Toc170333628 \h </w:instrText>
      </w:r>
      <w:r>
        <w:fldChar w:fldCharType="separate"/>
      </w:r>
      <w:r>
        <w:t>II</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"_Toc170333629" </w:instrText>
      </w:r>
      <w:r>
        <w:fldChar w:fldCharType="separate"/>
      </w:r>
      <w:r>
        <w:rPr>
          <w:rStyle w:val="32"/>
          <w:spacing w:val="320"/>
        </w:rPr>
        <w:t>引</w:t>
      </w:r>
      <w:r>
        <w:rPr>
          <w:rStyle w:val="32"/>
        </w:rPr>
        <w:t>言</w:t>
      </w:r>
      <w:r>
        <w:tab/>
      </w:r>
      <w:r>
        <w:fldChar w:fldCharType="begin"/>
      </w:r>
      <w:r>
        <w:instrText xml:space="preserve"> PAGEREF _Toc170333629 \h </w:instrText>
      </w:r>
      <w:r>
        <w:fldChar w:fldCharType="separate"/>
      </w:r>
      <w:r>
        <w:t>III</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"_Toc170333630" </w:instrText>
      </w:r>
      <w:r>
        <w:fldChar w:fldCharType="separate"/>
      </w:r>
      <w:r>
        <w:rPr>
          <w:rStyle w:val="32"/>
        </w:rPr>
        <w:t>1 范围</w:t>
      </w:r>
      <w:r>
        <w:tab/>
      </w:r>
      <w:r>
        <w:fldChar w:fldCharType="begin"/>
      </w:r>
      <w:r>
        <w:instrText xml:space="preserve"> PAGEREF _Toc170333630 \h </w:instrText>
      </w:r>
      <w:r>
        <w:fldChar w:fldCharType="separate"/>
      </w:r>
      <w:r>
        <w:t>1</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"_Toc170333631" </w:instrText>
      </w:r>
      <w:r>
        <w:fldChar w:fldCharType="separate"/>
      </w:r>
      <w:r>
        <w:rPr>
          <w:rStyle w:val="32"/>
        </w:rPr>
        <w:t>2 规范性引用文件</w:t>
      </w:r>
      <w:r>
        <w:tab/>
      </w:r>
      <w:r>
        <w:fldChar w:fldCharType="begin"/>
      </w:r>
      <w:r>
        <w:instrText xml:space="preserve"> PAGEREF _Toc170333631 \h </w:instrText>
      </w:r>
      <w:r>
        <w:fldChar w:fldCharType="separate"/>
      </w:r>
      <w:r>
        <w:t>1</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"_Toc170333632" </w:instrText>
      </w:r>
      <w:r>
        <w:fldChar w:fldCharType="separate"/>
      </w:r>
      <w:r>
        <w:rPr>
          <w:rStyle w:val="32"/>
        </w:rPr>
        <w:t>3 术语和定义</w:t>
      </w:r>
      <w:r>
        <w:tab/>
      </w:r>
      <w:r>
        <w:fldChar w:fldCharType="begin"/>
      </w:r>
      <w:r>
        <w:instrText xml:space="preserve"> PAGEREF _Toc170333632 \h </w:instrText>
      </w:r>
      <w:r>
        <w:fldChar w:fldCharType="separate"/>
      </w:r>
      <w:r>
        <w:t>1</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"_Toc170333633" </w:instrText>
      </w:r>
      <w:r>
        <w:fldChar w:fldCharType="separate"/>
      </w:r>
      <w:r>
        <w:rPr>
          <w:rStyle w:val="32"/>
        </w:rPr>
        <w:t>4 基本要求</w:t>
      </w:r>
      <w:r>
        <w:tab/>
      </w:r>
      <w:r>
        <w:fldChar w:fldCharType="begin"/>
      </w:r>
      <w:r>
        <w:instrText xml:space="preserve"> PAGEREF _Toc170333633 \h </w:instrText>
      </w:r>
      <w:r>
        <w:fldChar w:fldCharType="separate"/>
      </w:r>
      <w:r>
        <w:t>1</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"_Toc170333634" </w:instrText>
      </w:r>
      <w:r>
        <w:fldChar w:fldCharType="separate"/>
      </w:r>
      <w:r>
        <w:rPr>
          <w:rStyle w:val="32"/>
        </w:rPr>
        <w:t>5 技术要点</w:t>
      </w:r>
      <w:r>
        <w:tab/>
      </w:r>
      <w:r>
        <w:fldChar w:fldCharType="begin"/>
      </w:r>
      <w:r>
        <w:instrText xml:space="preserve"> PAGEREF _Toc170333634 \h </w:instrText>
      </w:r>
      <w:r>
        <w:fldChar w:fldCharType="separate"/>
      </w:r>
      <w:r>
        <w:t>2</w:t>
      </w:r>
      <w:r>
        <w:fldChar w:fldCharType="end"/>
      </w:r>
      <w:r>
        <w:fldChar w:fldCharType="end"/>
      </w:r>
    </w:p>
    <w:p>
      <w:pPr>
        <w:pStyle w:val="24"/>
        <w:ind w:left="0" w:leftChars="0" w:firstLine="0" w:firstLineChars="0"/>
        <w:rPr>
          <w:rFonts w:asciiTheme="minorHAnsi" w:hAnsiTheme="minorHAnsi" w:eastAsiaTheme="minorEastAsia" w:cstheme="minorBidi"/>
          <w:szCs w:val="22"/>
          <w14:ligatures w14:val="standardContextual"/>
        </w:rPr>
      </w:pPr>
      <w:r>
        <w:fldChar w:fldCharType="begin"/>
      </w:r>
      <w:r>
        <w:instrText xml:space="preserve"> HYPERLINK \l "_Toc170333635" </w:instrText>
      </w:r>
      <w:r>
        <w:fldChar w:fldCharType="separate"/>
      </w:r>
      <w:r>
        <w:rPr>
          <w:rStyle w:val="32"/>
          <w14:scene3d w14:prst="orthographicFront">
            <w14:lightRig w14:rig="threePt" w14:dir="t">
              <w14:rot w14:lat="0" w14:lon="0" w14:rev="0"/>
            </w14:lightRig>
          </w14:scene3d>
        </w:rPr>
        <w:t>5.1</w:t>
      </w:r>
      <w:r>
        <w:rPr>
          <w:rStyle w:val="32"/>
        </w:rPr>
        <w:t xml:space="preserve"> 动脉置管前评估</w:t>
      </w:r>
      <w:r>
        <w:tab/>
      </w:r>
      <w:r>
        <w:fldChar w:fldCharType="begin"/>
      </w:r>
      <w:r>
        <w:instrText xml:space="preserve"> PAGEREF _Toc170333635 \h </w:instrText>
      </w:r>
      <w:r>
        <w:fldChar w:fldCharType="separate"/>
      </w:r>
      <w:r>
        <w:t>2</w:t>
      </w:r>
      <w:r>
        <w:fldChar w:fldCharType="end"/>
      </w:r>
      <w:r>
        <w:fldChar w:fldCharType="end"/>
      </w:r>
    </w:p>
    <w:p>
      <w:pPr>
        <w:pStyle w:val="24"/>
        <w:ind w:left="0" w:leftChars="0" w:firstLine="0" w:firstLineChars="0"/>
        <w:rPr>
          <w:rFonts w:asciiTheme="minorHAnsi" w:hAnsiTheme="minorHAnsi" w:eastAsiaTheme="minorEastAsia" w:cstheme="minorBidi"/>
          <w:szCs w:val="22"/>
          <w14:ligatures w14:val="standardContextual"/>
        </w:rPr>
      </w:pPr>
      <w:r>
        <w:fldChar w:fldCharType="begin"/>
      </w:r>
      <w:r>
        <w:instrText xml:space="preserve"> HYPERLINK \l "_Toc170333636" </w:instrText>
      </w:r>
      <w:r>
        <w:fldChar w:fldCharType="separate"/>
      </w:r>
      <w:r>
        <w:rPr>
          <w:rStyle w:val="32"/>
          <w14:scene3d w14:prst="orthographicFront">
            <w14:lightRig w14:rig="threePt" w14:dir="t">
              <w14:rot w14:lat="0" w14:lon="0" w14:rev="0"/>
            </w14:lightRig>
          </w14:scene3d>
        </w:rPr>
        <w:t>5.2</w:t>
      </w:r>
      <w:r>
        <w:rPr>
          <w:rStyle w:val="32"/>
        </w:rPr>
        <w:t xml:space="preserve"> 动脉置管及管路连接</w:t>
      </w:r>
      <w:r>
        <w:tab/>
      </w:r>
      <w:r>
        <w:fldChar w:fldCharType="begin"/>
      </w:r>
      <w:r>
        <w:instrText xml:space="preserve"> PAGEREF _Toc170333636 \h </w:instrText>
      </w:r>
      <w:r>
        <w:fldChar w:fldCharType="separate"/>
      </w:r>
      <w:r>
        <w:t>2</w:t>
      </w:r>
      <w:r>
        <w:fldChar w:fldCharType="end"/>
      </w:r>
      <w:r>
        <w:fldChar w:fldCharType="end"/>
      </w:r>
    </w:p>
    <w:p>
      <w:pPr>
        <w:pStyle w:val="24"/>
        <w:ind w:left="0" w:leftChars="0" w:firstLine="0" w:firstLineChars="0"/>
        <w:rPr>
          <w:rFonts w:asciiTheme="minorHAnsi" w:hAnsiTheme="minorHAnsi" w:eastAsiaTheme="minorEastAsia" w:cstheme="minorBidi"/>
          <w:szCs w:val="22"/>
          <w14:ligatures w14:val="standardContextual"/>
        </w:rPr>
      </w:pPr>
      <w:r>
        <w:fldChar w:fldCharType="begin"/>
      </w:r>
      <w:r>
        <w:instrText xml:space="preserve"> HYPERLINK \l "_Toc170333637" </w:instrText>
      </w:r>
      <w:r>
        <w:fldChar w:fldCharType="separate"/>
      </w:r>
      <w:r>
        <w:rPr>
          <w:rStyle w:val="32"/>
          <w14:scene3d w14:prst="orthographicFront">
            <w14:lightRig w14:rig="threePt" w14:dir="t">
              <w14:rot w14:lat="0" w14:lon="0" w14:rev="0"/>
            </w14:lightRig>
          </w14:scene3d>
        </w:rPr>
        <w:t>5.3</w:t>
      </w:r>
      <w:r>
        <w:rPr>
          <w:rStyle w:val="32"/>
        </w:rPr>
        <w:t xml:space="preserve"> 压力监测</w:t>
      </w:r>
      <w:r>
        <w:tab/>
      </w:r>
      <w:r>
        <w:fldChar w:fldCharType="begin"/>
      </w:r>
      <w:r>
        <w:instrText xml:space="preserve"> PAGEREF _Toc170333637 \h </w:instrText>
      </w:r>
      <w:r>
        <w:fldChar w:fldCharType="separate"/>
      </w:r>
      <w:r>
        <w:t>2</w:t>
      </w:r>
      <w:r>
        <w:fldChar w:fldCharType="end"/>
      </w:r>
      <w:r>
        <w:fldChar w:fldCharType="end"/>
      </w:r>
    </w:p>
    <w:p>
      <w:pPr>
        <w:pStyle w:val="24"/>
        <w:ind w:left="0" w:leftChars="0" w:firstLine="0" w:firstLineChars="0"/>
        <w:rPr>
          <w:rFonts w:asciiTheme="minorHAnsi" w:hAnsiTheme="minorHAnsi" w:eastAsiaTheme="minorEastAsia" w:cstheme="minorBidi"/>
          <w:szCs w:val="22"/>
          <w14:ligatures w14:val="standardContextual"/>
        </w:rPr>
      </w:pPr>
      <w:r>
        <w:fldChar w:fldCharType="begin"/>
      </w:r>
      <w:r>
        <w:instrText xml:space="preserve"> HYPERLINK \l "_Toc170333638" </w:instrText>
      </w:r>
      <w:r>
        <w:fldChar w:fldCharType="separate"/>
      </w:r>
      <w:r>
        <w:rPr>
          <w:rStyle w:val="32"/>
          <w14:scene3d w14:prst="orthographicFront">
            <w14:lightRig w14:rig="threePt" w14:dir="t">
              <w14:rot w14:lat="0" w14:lon="0" w14:rev="0"/>
            </w14:lightRig>
          </w14:scene3d>
        </w:rPr>
        <w:t>5.4</w:t>
      </w:r>
      <w:r>
        <w:rPr>
          <w:rStyle w:val="32"/>
        </w:rPr>
        <w:t xml:space="preserve"> 管路维护</w:t>
      </w:r>
      <w:r>
        <w:tab/>
      </w:r>
      <w:r>
        <w:fldChar w:fldCharType="begin"/>
      </w:r>
      <w:r>
        <w:instrText xml:space="preserve"> PAGEREF _Toc170333638 \h </w:instrText>
      </w:r>
      <w:r>
        <w:fldChar w:fldCharType="separate"/>
      </w:r>
      <w:r>
        <w:t>2</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"_Toc170333639" </w:instrText>
      </w:r>
      <w:r>
        <w:fldChar w:fldCharType="separate"/>
      </w:r>
      <w:r>
        <w:rPr>
          <w:rStyle w:val="32"/>
        </w:rPr>
        <w:t>6 常见问题与处理</w:t>
      </w:r>
      <w:r>
        <w:tab/>
      </w:r>
      <w:r>
        <w:fldChar w:fldCharType="begin"/>
      </w:r>
      <w:r>
        <w:instrText xml:space="preserve"> PAGEREF _Toc170333639 \h </w:instrText>
      </w:r>
      <w:r>
        <w:fldChar w:fldCharType="separate"/>
      </w:r>
      <w:r>
        <w:t>3</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"_Toc170333640" </w:instrText>
      </w:r>
      <w:r>
        <w:fldChar w:fldCharType="separate"/>
      </w:r>
      <w:r>
        <w:rPr>
          <w:rStyle w:val="32"/>
          <w:spacing w:val="100"/>
        </w:rPr>
        <w:t>附录A</w:t>
      </w:r>
      <w:r>
        <w:rPr>
          <w:rStyle w:val="32"/>
        </w:rPr>
        <w:t xml:space="preserve"> （资料性） Allen试验和改良Allen实验</w:t>
      </w:r>
      <w:r>
        <w:tab/>
      </w:r>
      <w:r>
        <w:fldChar w:fldCharType="begin"/>
      </w:r>
      <w:r>
        <w:instrText xml:space="preserve"> PAGEREF _Toc170333640 \h </w:instrText>
      </w:r>
      <w:r>
        <w:fldChar w:fldCharType="separate"/>
      </w:r>
      <w:r>
        <w:t>4</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"_Toc170333641" </w:instrText>
      </w:r>
      <w:r>
        <w:fldChar w:fldCharType="separate"/>
      </w:r>
      <w:r>
        <w:rPr>
          <w:rStyle w:val="32"/>
          <w:spacing w:val="100"/>
        </w:rPr>
        <w:t>附录B</w:t>
      </w:r>
      <w:r>
        <w:rPr>
          <w:rStyle w:val="32"/>
        </w:rPr>
        <w:t xml:space="preserve"> （资料性） 动脉穿刺方法</w:t>
      </w:r>
      <w:r>
        <w:tab/>
      </w:r>
      <w:r>
        <w:fldChar w:fldCharType="begin"/>
      </w:r>
      <w:r>
        <w:instrText xml:space="preserve"> PAGEREF _Toc170333641 \h </w:instrText>
      </w:r>
      <w:r>
        <w:fldChar w:fldCharType="separate"/>
      </w:r>
      <w:r>
        <w:t>5</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"_Toc170333642" </w:instrText>
      </w:r>
      <w:r>
        <w:fldChar w:fldCharType="separate"/>
      </w:r>
      <w:r>
        <w:rPr>
          <w:rStyle w:val="32"/>
          <w:spacing w:val="100"/>
        </w:rPr>
        <w:t>附录C</w:t>
      </w:r>
      <w:r>
        <w:rPr>
          <w:rStyle w:val="32"/>
        </w:rPr>
        <w:t xml:space="preserve"> （资料性） 方波实验</w:t>
      </w:r>
      <w:r>
        <w:tab/>
      </w:r>
      <w:r>
        <w:fldChar w:fldCharType="begin"/>
      </w:r>
      <w:r>
        <w:instrText xml:space="preserve"> PAGEREF _Toc170333642 \h </w:instrText>
      </w:r>
      <w:r>
        <w:fldChar w:fldCharType="separate"/>
      </w:r>
      <w:r>
        <w:t>6</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"_Toc170333643" </w:instrText>
      </w:r>
      <w:r>
        <w:fldChar w:fldCharType="separate"/>
      </w:r>
      <w:r>
        <w:rPr>
          <w:rStyle w:val="32"/>
          <w:spacing w:val="100"/>
        </w:rPr>
        <w:t>附录D</w:t>
      </w:r>
      <w:r>
        <w:rPr>
          <w:rStyle w:val="32"/>
        </w:rPr>
        <w:t xml:space="preserve"> （资料性） 有创动脉血压监测校零方法</w:t>
      </w:r>
      <w:r>
        <w:tab/>
      </w:r>
      <w:r>
        <w:fldChar w:fldCharType="begin"/>
      </w:r>
      <w:r>
        <w:instrText xml:space="preserve"> PAGEREF _Toc170333643 \h </w:instrText>
      </w:r>
      <w:r>
        <w:fldChar w:fldCharType="separate"/>
      </w:r>
      <w:r>
        <w:t>7</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"_Toc170333644" </w:instrText>
      </w:r>
      <w:r>
        <w:fldChar w:fldCharType="separate"/>
      </w:r>
      <w:r>
        <w:rPr>
          <w:rStyle w:val="32"/>
          <w:spacing w:val="100"/>
        </w:rPr>
        <w:t>附录E</w:t>
      </w:r>
      <w:r>
        <w:rPr>
          <w:rStyle w:val="32"/>
        </w:rPr>
        <w:t xml:space="preserve"> （资料性） 有创动脉血压监测正常波形</w:t>
      </w:r>
      <w:r>
        <w:tab/>
      </w:r>
      <w:r>
        <w:fldChar w:fldCharType="begin"/>
      </w:r>
      <w:r>
        <w:instrText xml:space="preserve"> PAGEREF _Toc170333644 \h </w:instrText>
      </w:r>
      <w:r>
        <w:fldChar w:fldCharType="separate"/>
      </w:r>
      <w:r>
        <w:t>8</w:t>
      </w:r>
      <w:r>
        <w:fldChar w:fldCharType="end"/>
      </w:r>
      <w:r>
        <w:fldChar w:fldCharType="end"/>
      </w:r>
    </w:p>
    <w:p>
      <w:pPr>
        <w:pStyle w:val="19"/>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"_Toc170333645" </w:instrText>
      </w:r>
      <w:r>
        <w:fldChar w:fldCharType="separate"/>
      </w:r>
      <w:r>
        <w:rPr>
          <w:rStyle w:val="32"/>
          <w:spacing w:val="100"/>
        </w:rPr>
        <w:t>附录F</w:t>
      </w:r>
      <w:r>
        <w:rPr>
          <w:rStyle w:val="32"/>
        </w:rPr>
        <w:t xml:space="preserve"> （资料性） 常见异常波形及原因</w:t>
      </w:r>
      <w:r>
        <w:tab/>
      </w:r>
      <w:r>
        <w:fldChar w:fldCharType="begin"/>
      </w:r>
      <w:r>
        <w:instrText xml:space="preserve"> PAGEREF _Toc170333645 \h </w:instrText>
      </w:r>
      <w:r>
        <w:fldChar w:fldCharType="separate"/>
      </w:r>
      <w:r>
        <w:t>9</w:t>
      </w:r>
      <w:r>
        <w:fldChar w:fldCharType="end"/>
      </w:r>
      <w:r>
        <w:fldChar w:fldCharType="end"/>
      </w:r>
    </w:p>
    <w:p>
      <w:pPr>
        <w:pStyle w:val="91"/>
        <w:spacing w:after="468"/>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1"/>
    <w:p>
      <w:pPr>
        <w:pStyle w:val="89"/>
        <w:spacing w:before="900" w:after="468"/>
      </w:pPr>
      <w:bookmarkStart w:id="22" w:name="_Toc170333628"/>
      <w:bookmarkStart w:id="23" w:name="BookMark2"/>
      <w:r>
        <w:rPr>
          <w:spacing w:val="320"/>
        </w:rPr>
        <w:t>前</w:t>
      </w:r>
      <w:r>
        <w:t>言</w:t>
      </w:r>
      <w:bookmarkEnd w:id="22"/>
    </w:p>
    <w:p>
      <w:pPr>
        <w:pStyle w:val="56"/>
        <w:ind w:firstLine="420"/>
        <w:rPr>
          <w:rFonts w:hint="eastAsia"/>
        </w:rPr>
      </w:pPr>
      <w:r>
        <w:rPr>
          <w:rFonts w:hint="eastAsia"/>
        </w:rPr>
        <w:t>本文件按照GB/T 1.1—2020《标准化工作导则  第1部分：标准化文件的结构和起草规则》的规定起草。</w:t>
      </w:r>
    </w:p>
    <w:p>
      <w:pPr>
        <w:pStyle w:val="56"/>
        <w:ind w:firstLine="420"/>
        <w:rPr>
          <w:rFonts w:hint="eastAsia"/>
        </w:rPr>
      </w:pPr>
      <w:r>
        <w:rPr>
          <w:rFonts w:hint="eastAsia"/>
        </w:rPr>
        <w:t>本文件是DB32/T  XXXX- XXXX《成人危重症临床护理技术规范》的第3部分。DB32/T XXXX-XXXX已经发布了以下部分：</w:t>
      </w:r>
    </w:p>
    <w:p>
      <w:pPr>
        <w:pStyle w:val="56"/>
        <w:ind w:firstLine="420"/>
        <w:rPr>
          <w:rFonts w:hint="eastAsia"/>
        </w:rPr>
      </w:pPr>
      <w:r>
        <w:rPr>
          <w:rFonts w:hint="eastAsia"/>
        </w:rPr>
        <w:t>——第1部分：目标温度管理；</w:t>
      </w:r>
    </w:p>
    <w:p>
      <w:pPr>
        <w:pStyle w:val="56"/>
        <w:ind w:firstLine="420"/>
        <w:rPr>
          <w:rFonts w:hint="eastAsia"/>
        </w:rPr>
      </w:pPr>
      <w:r>
        <w:rPr>
          <w:rFonts w:hint="eastAsia"/>
        </w:rPr>
        <w:t>——第2部分：无创腹内压监测；</w:t>
      </w:r>
    </w:p>
    <w:p>
      <w:pPr>
        <w:pStyle w:val="56"/>
        <w:ind w:firstLine="420"/>
        <w:rPr>
          <w:rFonts w:hint="eastAsia"/>
        </w:rPr>
      </w:pPr>
      <w:r>
        <w:rPr>
          <w:rFonts w:hint="eastAsia"/>
        </w:rPr>
        <w:t>——第3部分：有创动脉血压监测；</w:t>
      </w:r>
    </w:p>
    <w:p>
      <w:pPr>
        <w:pStyle w:val="56"/>
        <w:ind w:firstLine="420"/>
        <w:rPr>
          <w:rFonts w:hint="eastAsia"/>
        </w:rPr>
      </w:pPr>
      <w:r>
        <w:rPr>
          <w:rFonts w:hint="eastAsia"/>
        </w:rPr>
        <w:t>——第4部分：漂浮导管置管配合与监测；</w:t>
      </w:r>
    </w:p>
    <w:p>
      <w:pPr>
        <w:pStyle w:val="56"/>
        <w:ind w:firstLine="420"/>
        <w:rPr>
          <w:rFonts w:hint="eastAsia"/>
        </w:rPr>
      </w:pPr>
      <w:r>
        <w:rPr>
          <w:rFonts w:hint="eastAsia"/>
        </w:rPr>
        <w:t>——第5部分：有创机械通气患者气道湿化；</w:t>
      </w:r>
    </w:p>
    <w:p>
      <w:pPr>
        <w:pStyle w:val="56"/>
        <w:ind w:firstLine="420"/>
        <w:rPr>
          <w:rFonts w:hint="eastAsia"/>
        </w:rPr>
      </w:pPr>
      <w:r>
        <w:rPr>
          <w:rFonts w:hint="eastAsia"/>
        </w:rPr>
        <w:t>——第6部分：患者身体约束。</w:t>
      </w:r>
    </w:p>
    <w:p>
      <w:pPr>
        <w:pStyle w:val="56"/>
        <w:ind w:firstLine="420"/>
        <w:rPr>
          <w:rFonts w:hint="eastAsia"/>
        </w:rPr>
      </w:pPr>
      <w:r>
        <w:rPr>
          <w:rFonts w:hint="eastAsia"/>
        </w:rPr>
        <w:t>请注意本文件的某些内容可能涉及专利。本文件的发布机构不承担识别专利的责任</w:t>
      </w:r>
    </w:p>
    <w:p>
      <w:pPr>
        <w:pStyle w:val="56"/>
        <w:ind w:firstLine="420"/>
        <w:rPr>
          <w:rFonts w:hint="eastAsia"/>
        </w:rPr>
      </w:pPr>
      <w:r>
        <w:rPr>
          <w:rFonts w:hint="eastAsia"/>
        </w:rPr>
        <w:t>本文件由江苏省卫生健康标准化技术委员会提出并归档。</w:t>
      </w:r>
    </w:p>
    <w:p>
      <w:pPr>
        <w:pStyle w:val="56"/>
        <w:ind w:firstLine="420"/>
        <w:rPr>
          <w:rFonts w:hint="eastAsia"/>
        </w:rPr>
      </w:pPr>
      <w:r>
        <w:rPr>
          <w:rFonts w:hint="eastAsia"/>
        </w:rPr>
        <w:t>本文件起草单位：江苏省医疗管理服务指导中心、江苏省人民医院、南京鼓楼医院、南京市第一医院、江苏省中医院、南通大学附属医院、苏州大学附属第一医院、江苏大学附属医院、苏北人民医院、徐州医科大学附属医院、淮安市第一人民医院、无锡市第二人民医院、镇江市第一人民医院。</w:t>
      </w:r>
    </w:p>
    <w:p>
      <w:pPr>
        <w:pStyle w:val="56"/>
        <w:ind w:firstLine="420"/>
      </w:pPr>
      <w:r>
        <w:rPr>
          <w:rFonts w:hint="eastAsia"/>
        </w:rPr>
        <w:t>本文件主要起草人：田雅丽、顾则娟、陆敏、王宁、周晶、王芸、赵青、冯波、冯萍、宣思宇、刘志敏、许惠芬、俞嫔、杨丽萍、朱庆捷、陈翠、殷进、潘海萍、朱琳、褚敏娟、尹朱丹、王海鸥、李方、张晨、耿丹丹、陈柯宇、鲍亚平、高燕。</w:t>
      </w:r>
    </w:p>
    <w:p>
      <w:pPr>
        <w:pStyle w:val="56"/>
        <w:ind w:firstLine="199" w:firstLineChars="95"/>
        <w:rPr>
          <w:rFonts w:hint="eastAsia"/>
        </w:rPr>
        <w:sectPr>
          <w:pgSz w:w="11906" w:h="16838"/>
          <w:pgMar w:top="1928" w:right="1134" w:bottom="1134" w:left="1134" w:header="1418" w:footer="1134" w:gutter="284"/>
          <w:pgNumType w:fmt="upperRoman"/>
          <w:cols w:space="425" w:num="1"/>
          <w:formProt w:val="0"/>
          <w:docGrid w:type="lines" w:linePitch="312" w:charSpace="0"/>
        </w:sectPr>
      </w:pPr>
    </w:p>
    <w:bookmarkEnd w:id="23"/>
    <w:p>
      <w:pPr>
        <w:pStyle w:val="89"/>
        <w:spacing w:after="468"/>
      </w:pPr>
      <w:bookmarkStart w:id="24" w:name="_Toc170333629"/>
      <w:bookmarkStart w:id="25" w:name="BookMark3"/>
      <w:r>
        <w:rPr>
          <w:spacing w:val="320"/>
        </w:rPr>
        <w:t>引</w:t>
      </w:r>
      <w:r>
        <w:t>言</w:t>
      </w:r>
      <w:bookmarkEnd w:id="24"/>
    </w:p>
    <w:p>
      <w:pPr>
        <w:pStyle w:val="56"/>
        <w:ind w:firstLine="420"/>
        <w:rPr>
          <w:rFonts w:hint="eastAsia"/>
        </w:rPr>
      </w:pPr>
      <w:r>
        <w:rPr>
          <w:rFonts w:hint="eastAsia"/>
        </w:rPr>
        <w:t>建立基于循证及临床需求的《成人危重症临床护理技术规范》能够指导护士工作，保证成人危重症患者相关指标监测的准确性、发现异常的及时性，以及护理的有效性，实现成人危重症患者相关指标监测和护理的同质化，由以下六个部分构成。</w:t>
      </w:r>
    </w:p>
    <w:p>
      <w:pPr>
        <w:pStyle w:val="56"/>
        <w:ind w:firstLine="420"/>
        <w:rPr>
          <w:rFonts w:hint="eastAsia"/>
        </w:rPr>
      </w:pPr>
      <w:r>
        <w:rPr>
          <w:rFonts w:hint="eastAsia"/>
        </w:rPr>
        <w:t>——第1部分：目标温度管理。目的在于规定基本要求、技术要点、并发症预防与处理等内容，保证目标温度管理的有效性和安全性。</w:t>
      </w:r>
    </w:p>
    <w:p>
      <w:pPr>
        <w:pStyle w:val="56"/>
        <w:ind w:firstLine="420"/>
        <w:rPr>
          <w:rFonts w:hint="eastAsia"/>
        </w:rPr>
      </w:pPr>
      <w:r>
        <w:rPr>
          <w:rFonts w:hint="eastAsia"/>
        </w:rPr>
        <w:t>——第2部分：无创腹内压监测。目的在于规定监测时机、监测频次、监测方法、监测要点及并发症的识别与处理等内容，保证无创腹内压监测的准确性。</w:t>
      </w:r>
    </w:p>
    <w:p>
      <w:pPr>
        <w:pStyle w:val="56"/>
        <w:ind w:firstLine="420"/>
        <w:rPr>
          <w:rFonts w:hint="eastAsia"/>
        </w:rPr>
      </w:pPr>
      <w:r>
        <w:rPr>
          <w:rFonts w:hint="eastAsia"/>
        </w:rPr>
        <w:t>——第3部分：有创动脉血压监测。目的在于规定基本要求、技术要点以及监测中常见问题与处理等内容，保证动脉导管留置的有效性与有创动脉血压监测的准确性。</w:t>
      </w:r>
    </w:p>
    <w:p>
      <w:pPr>
        <w:pStyle w:val="56"/>
        <w:ind w:firstLine="420"/>
        <w:rPr>
          <w:rFonts w:hint="eastAsia"/>
        </w:rPr>
      </w:pPr>
      <w:r>
        <w:rPr>
          <w:rFonts w:hint="eastAsia"/>
        </w:rPr>
        <w:t>——第4部分：漂浮导管置管配合与监测。目的在于规定置管护理的基本要求、配合、维护、数据监测等内容，保证导管留置的有效性与数据监测的可靠性。</w:t>
      </w:r>
    </w:p>
    <w:p>
      <w:pPr>
        <w:pStyle w:val="56"/>
        <w:ind w:firstLine="420"/>
        <w:rPr>
          <w:rFonts w:hint="eastAsia"/>
        </w:rPr>
      </w:pPr>
      <w:r>
        <w:rPr>
          <w:rFonts w:hint="eastAsia"/>
        </w:rPr>
        <w:t>——第5部分：有创机械通气患者气道湿化。目的在于规定基本要求、评估、湿化方式、湿化装置、湿化液、操作要点等内容，保证气道湿化效果及气道管理质量。</w:t>
      </w:r>
    </w:p>
    <w:p>
      <w:pPr>
        <w:pStyle w:val="56"/>
        <w:ind w:firstLine="420"/>
      </w:pPr>
      <w:r>
        <w:rPr>
          <w:rFonts w:hint="eastAsia"/>
        </w:rPr>
        <w:t>——第6部分：患者身体约束。目的在于规定基本要求、约束评估、约束预防、约束替代、约束实施等内容，保证患者安全，保障患者的尊严和权益。</w:t>
      </w:r>
    </w:p>
    <w:p>
      <w:pPr>
        <w:pStyle w:val="56"/>
        <w:ind w:firstLine="0" w:firstLineChars="0"/>
        <w:rPr>
          <w:rFonts w:hint="eastAsia"/>
        </w:rPr>
        <w:sectPr>
          <w:pgSz w:w="11906" w:h="16838"/>
          <w:pgMar w:top="1928" w:right="1134" w:bottom="1134" w:left="1134" w:header="1418" w:footer="1134" w:gutter="284"/>
          <w:pgNumType w:fmt="upperRoman"/>
          <w:cols w:space="425" w:num="1"/>
          <w:formProt w:val="0"/>
          <w:docGrid w:type="lines" w:linePitch="312" w:charSpace="0"/>
        </w:sectPr>
      </w:pPr>
    </w:p>
    <w:bookmarkEnd w:id="25"/>
    <w:p>
      <w:pPr>
        <w:spacing w:line="20" w:lineRule="exact"/>
        <w:jc w:val="center"/>
        <w:rPr>
          <w:rFonts w:ascii="黑体" w:hAnsi="黑体" w:eastAsia="黑体"/>
          <w:sz w:val="32"/>
          <w:szCs w:val="32"/>
        </w:rPr>
      </w:pPr>
      <w:bookmarkStart w:id="26" w:name="BookMark4"/>
    </w:p>
    <w:p>
      <w:pPr>
        <w:spacing w:line="20" w:lineRule="exact"/>
        <w:jc w:val="center"/>
        <w:rPr>
          <w:rFonts w:ascii="黑体" w:hAnsi="黑体" w:eastAsia="黑体"/>
          <w:sz w:val="32"/>
          <w:szCs w:val="32"/>
        </w:rPr>
      </w:pPr>
    </w:p>
    <w:sdt>
      <w:sdtPr>
        <w:tag w:val="NEW_STAND_NAME"/>
        <w:id w:val="595910757"/>
        <w:lock w:val="sdtLocked"/>
        <w:placeholder>
          <w:docPart w:val="CB38C84BF0F64BFBBA8972CF072405B2"/>
        </w:placeholder>
      </w:sdtPr>
      <w:sdtContent>
        <w:p>
          <w:pPr>
            <w:pStyle w:val="177"/>
            <w:spacing w:before="312" w:beforeLines="100" w:after="3" w:afterLines="1"/>
          </w:pPr>
          <w:bookmarkStart w:id="27" w:name="NEW_STAND_NAME"/>
          <w:r>
            <w:rPr>
              <w:rFonts w:hint="eastAsia"/>
            </w:rPr>
            <w:t>成人危重症临床护理技术规范</w:t>
          </w:r>
        </w:p>
        <w:p>
          <w:pPr>
            <w:pStyle w:val="177"/>
            <w:spacing w:before="3" w:beforeLines="1" w:after="680"/>
          </w:pPr>
          <w:r>
            <w:rPr>
              <w:rFonts w:hint="eastAsia"/>
            </w:rPr>
            <w:t>第</w:t>
          </w:r>
          <w:r>
            <w:t>3部分：有创动脉血压监测</w:t>
          </w:r>
        </w:p>
      </w:sdtContent>
    </w:sdt>
    <w:bookmarkEnd w:id="27"/>
    <w:p>
      <w:pPr>
        <w:pStyle w:val="104"/>
        <w:spacing w:before="312" w:after="312"/>
      </w:pPr>
      <w:bookmarkStart w:id="28" w:name="_Toc17233325"/>
      <w:bookmarkStart w:id="29" w:name="_Toc26986771"/>
      <w:bookmarkStart w:id="30" w:name="_Toc24884218"/>
      <w:bookmarkStart w:id="31" w:name="_Toc26648465"/>
      <w:bookmarkStart w:id="32" w:name="_Toc26986530"/>
      <w:bookmarkStart w:id="33" w:name="_Toc26718930"/>
      <w:bookmarkStart w:id="34" w:name="_Toc17233333"/>
      <w:bookmarkStart w:id="35" w:name="_Toc24884211"/>
      <w:bookmarkStart w:id="36" w:name="_Toc97191423"/>
      <w:bookmarkStart w:id="37" w:name="_Toc170333630"/>
      <w:r>
        <w:rPr>
          <w:rFonts w:hint="eastAsia"/>
        </w:rPr>
        <w:t>范围</w:t>
      </w:r>
      <w:bookmarkEnd w:id="28"/>
      <w:bookmarkEnd w:id="29"/>
      <w:bookmarkEnd w:id="30"/>
      <w:bookmarkEnd w:id="31"/>
      <w:bookmarkEnd w:id="32"/>
      <w:bookmarkEnd w:id="33"/>
      <w:bookmarkEnd w:id="34"/>
      <w:bookmarkEnd w:id="35"/>
      <w:bookmarkEnd w:id="36"/>
      <w:bookmarkEnd w:id="37"/>
    </w:p>
    <w:p>
      <w:pPr>
        <w:pStyle w:val="56"/>
        <w:ind w:firstLine="420"/>
        <w:rPr>
          <w:rFonts w:hint="eastAsia"/>
        </w:rPr>
      </w:pPr>
      <w:bookmarkStart w:id="38" w:name="_Toc17233326"/>
      <w:bookmarkStart w:id="39" w:name="_Toc26648466"/>
      <w:bookmarkStart w:id="40" w:name="_Toc17233334"/>
      <w:bookmarkStart w:id="41" w:name="_Toc24884212"/>
      <w:bookmarkStart w:id="42" w:name="_Toc24884219"/>
      <w:r>
        <w:rPr>
          <w:rFonts w:hint="eastAsia"/>
        </w:rPr>
        <w:t>本文件规定了成人有创动脉血压监测护理技术的基本要求、技术要点以及监测中常见问题与处理。</w:t>
      </w:r>
    </w:p>
    <w:p>
      <w:pPr>
        <w:pStyle w:val="56"/>
        <w:ind w:firstLine="420"/>
      </w:pPr>
      <w:r>
        <w:rPr>
          <w:rFonts w:hint="eastAsia"/>
        </w:rPr>
        <w:t>本文件适用于各级各类医疗机构为成人危重症患者开展有创动脉血压监测的注册护士，其他医务人员可参照执行。</w:t>
      </w:r>
    </w:p>
    <w:p>
      <w:pPr>
        <w:pStyle w:val="104"/>
        <w:spacing w:before="312" w:after="312"/>
        <w:rPr>
          <w:rFonts w:hint="default" w:ascii="Times New Roman" w:hAnsi="Times New Roman" w:cs="Times New Roman"/>
        </w:rPr>
      </w:pPr>
      <w:bookmarkStart w:id="43" w:name="_Toc170333631"/>
      <w:bookmarkStart w:id="44" w:name="_Toc26986772"/>
      <w:bookmarkStart w:id="45" w:name="_Toc26718931"/>
      <w:bookmarkStart w:id="46" w:name="_Toc97191424"/>
      <w:bookmarkStart w:id="47" w:name="_Toc26986531"/>
      <w:r>
        <w:rPr>
          <w:rFonts w:hint="default" w:ascii="Times New Roman" w:hAnsi="Times New Roman" w:cs="Times New Roman"/>
        </w:rPr>
        <w:t>规范性引用文件</w:t>
      </w:r>
      <w:bookmarkEnd w:id="38"/>
      <w:bookmarkEnd w:id="39"/>
      <w:bookmarkEnd w:id="40"/>
      <w:bookmarkEnd w:id="41"/>
      <w:bookmarkEnd w:id="42"/>
      <w:bookmarkEnd w:id="43"/>
      <w:bookmarkEnd w:id="44"/>
      <w:bookmarkEnd w:id="45"/>
      <w:bookmarkEnd w:id="46"/>
      <w:bookmarkEnd w:id="47"/>
    </w:p>
    <w:sdt>
      <w:sdtPr>
        <w:rPr>
          <w:rFonts w:hint="default" w:ascii="Times New Roman" w:hAnsi="Times New Roman" w:cs="Times New Roman"/>
        </w:rPr>
        <w:id w:val="715848253"/>
        <w:placeholder>
          <w:docPart w:val="B6EA8DD9109A4B6190A9774C30E5278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default" w:ascii="Times New Roman" w:hAnsi="Times New Roman" w:cs="Times New Roman"/>
        </w:rPr>
      </w:sdtEndPr>
      <w:sdtContent>
        <w:p>
          <w:pPr>
            <w:pStyle w:val="56"/>
            <w:ind w:firstLine="420"/>
            <w:rPr>
              <w:rFonts w:hint="default" w:ascii="Times New Roman" w:hAnsi="Times New Roman" w:cs="Times New Roman"/>
            </w:rPr>
          </w:pPr>
          <w:r>
            <w:rPr>
              <w:rFonts w:hint="default" w:ascii="Times New Roman" w:hAnsi="Times New Roman" w:cs="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6"/>
        <w:ind w:firstLine="420"/>
        <w:rPr>
          <w:rFonts w:hint="default" w:ascii="Times New Roman" w:hAnsi="Times New Roman" w:cs="Times New Roman"/>
        </w:rPr>
      </w:pPr>
      <w:r>
        <w:rPr>
          <w:rFonts w:hint="default" w:ascii="Times New Roman" w:hAnsi="Times New Roman" w:cs="Times New Roman"/>
        </w:rPr>
        <w:t>WS/T 313  医务人员手卫生规范</w:t>
      </w:r>
    </w:p>
    <w:p>
      <w:pPr>
        <w:pStyle w:val="56"/>
        <w:ind w:firstLine="420"/>
        <w:rPr>
          <w:rFonts w:hint="default" w:ascii="Times New Roman" w:hAnsi="Times New Roman" w:cs="Times New Roman"/>
        </w:rPr>
      </w:pPr>
      <w:r>
        <w:rPr>
          <w:rFonts w:hint="default" w:ascii="Times New Roman" w:hAnsi="Times New Roman" w:cs="Times New Roman"/>
        </w:rPr>
        <w:t>WS/T 433  静脉治疗护理技术操作规范</w:t>
      </w:r>
    </w:p>
    <w:p>
      <w:pPr>
        <w:pStyle w:val="104"/>
        <w:spacing w:before="312" w:after="312"/>
        <w:rPr>
          <w:rFonts w:hint="default" w:ascii="Times New Roman" w:hAnsi="Times New Roman" w:cs="Times New Roman"/>
        </w:rPr>
      </w:pPr>
      <w:bookmarkStart w:id="48" w:name="_Toc97191425"/>
      <w:bookmarkStart w:id="49" w:name="_Toc170333632"/>
      <w:r>
        <w:rPr>
          <w:rFonts w:hint="default" w:ascii="Times New Roman" w:hAnsi="Times New Roman" w:cs="Times New Roman"/>
          <w:szCs w:val="21"/>
        </w:rPr>
        <w:t>术语和定义</w:t>
      </w:r>
      <w:bookmarkEnd w:id="48"/>
      <w:bookmarkEnd w:id="49"/>
    </w:p>
    <w:sdt>
      <w:sdtPr>
        <w:rPr>
          <w:rFonts w:hint="default" w:ascii="Times New Roman" w:hAnsi="Times New Roman" w:cs="Times New Roman"/>
        </w:rPr>
        <w:id w:val="-1909835108"/>
        <w:placeholder>
          <w:docPart w:val="2A09CA27C5DD409E9D38C146B96AE953"/>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default" w:ascii="Times New Roman" w:hAnsi="Times New Roman" w:cs="Times New Roman"/>
        </w:rPr>
      </w:sdtEndPr>
      <w:sdtContent>
        <w:p>
          <w:pPr>
            <w:pStyle w:val="56"/>
            <w:ind w:firstLine="420"/>
            <w:rPr>
              <w:rFonts w:hint="default" w:ascii="Times New Roman" w:hAnsi="Times New Roman" w:cs="Times New Roman"/>
            </w:rPr>
          </w:pPr>
          <w:bookmarkStart w:id="50" w:name="_Toc26986532"/>
          <w:bookmarkEnd w:id="50"/>
          <w:r>
            <w:rPr>
              <w:rFonts w:hint="default" w:ascii="Times New Roman" w:hAnsi="Times New Roman" w:cs="Times New Roman"/>
            </w:rPr>
            <w:t>下列术语和定义适用于本文件。</w:t>
          </w:r>
        </w:p>
      </w:sdtContent>
    </w:sdt>
    <w:p>
      <w:pPr>
        <w:pStyle w:val="223"/>
        <w:ind w:left="420" w:hanging="420" w:hangingChars="200"/>
        <w:rPr>
          <w:rFonts w:hint="default" w:ascii="Times New Roman" w:hAnsi="Times New Roman" w:eastAsia="黑体" w:cs="Times New Roman"/>
        </w:rPr>
      </w:pPr>
      <w:r>
        <w:rPr>
          <w:rFonts w:hint="default" w:ascii="Times New Roman" w:hAnsi="Times New Roman" w:eastAsia="黑体" w:cs="Times New Roman"/>
        </w:rPr>
        <w:br w:type="textWrapping"/>
      </w:r>
      <w:r>
        <w:rPr>
          <w:rFonts w:hint="default" w:ascii="Times New Roman" w:hAnsi="Times New Roman" w:eastAsia="黑体" w:cs="Times New Roman"/>
        </w:rPr>
        <w:t>有创动脉血压监测 invasive arterial blood pressure monitoring</w:t>
      </w:r>
    </w:p>
    <w:p>
      <w:pPr>
        <w:pStyle w:val="56"/>
        <w:ind w:firstLine="420"/>
        <w:rPr>
          <w:rFonts w:hint="default" w:ascii="Times New Roman" w:hAnsi="Times New Roman" w:cs="Times New Roman"/>
        </w:rPr>
      </w:pPr>
      <w:r>
        <w:rPr>
          <w:rFonts w:hint="default" w:ascii="Times New Roman" w:hAnsi="Times New Roman" w:cs="Times New Roman"/>
        </w:rPr>
        <w:t>将动脉导管置于动脉内，直接感知血管内压力，通过压力传感器将压力信号转换成电信号输入监护仪，显示动脉血压波形与数值的方法。</w:t>
      </w:r>
    </w:p>
    <w:p>
      <w:pPr>
        <w:pStyle w:val="223"/>
        <w:ind w:left="420" w:hanging="420" w:hangingChars="200"/>
        <w:rPr>
          <w:rFonts w:hint="default" w:ascii="Times New Roman" w:hAnsi="Times New Roman" w:eastAsia="黑体" w:cs="Times New Roman"/>
        </w:rPr>
      </w:pPr>
      <w:r>
        <w:rPr>
          <w:rFonts w:hint="default" w:ascii="Times New Roman" w:hAnsi="Times New Roman" w:eastAsia="黑体" w:cs="Times New Roman"/>
        </w:rPr>
        <w:br w:type="textWrapping"/>
      </w:r>
      <w:r>
        <w:rPr>
          <w:rFonts w:hint="default" w:ascii="Times New Roman" w:hAnsi="Times New Roman" w:eastAsia="黑体" w:cs="Times New Roman"/>
        </w:rPr>
        <w:t>方波试验 fast-flush square wave testing</w:t>
      </w:r>
    </w:p>
    <w:p>
      <w:pPr>
        <w:pStyle w:val="56"/>
        <w:ind w:firstLine="420"/>
        <w:rPr>
          <w:rFonts w:hint="default" w:ascii="Times New Roman" w:hAnsi="Times New Roman" w:cs="Times New Roman"/>
        </w:rPr>
      </w:pPr>
      <w:r>
        <w:rPr>
          <w:rFonts w:hint="default" w:ascii="Times New Roman" w:hAnsi="Times New Roman" w:cs="Times New Roman"/>
        </w:rPr>
        <w:t>对压力监测系统进行快速冲洗，监护仪显示的波形会快速上升到顶端形成方波，继而出现衰减波直至返回基线，评估测量管路动态反应性的方法，也称快速冲洗试验。</w:t>
      </w:r>
    </w:p>
    <w:p>
      <w:pPr>
        <w:pStyle w:val="223"/>
        <w:ind w:left="420" w:hanging="420" w:hangingChars="200"/>
        <w:rPr>
          <w:rFonts w:hint="default" w:ascii="Times New Roman" w:hAnsi="Times New Roman" w:eastAsia="黑体" w:cs="Times New Roman"/>
        </w:rPr>
      </w:pPr>
      <w:r>
        <w:rPr>
          <w:rFonts w:hint="default" w:ascii="Times New Roman" w:hAnsi="Times New Roman" w:eastAsia="黑体" w:cs="Times New Roman"/>
        </w:rPr>
        <w:br w:type="textWrapping"/>
      </w:r>
      <w:r>
        <w:rPr>
          <w:rFonts w:hint="default" w:ascii="Times New Roman" w:hAnsi="Times New Roman" w:eastAsia="黑体" w:cs="Times New Roman"/>
        </w:rPr>
        <w:t>校零 zero calibration</w:t>
      </w:r>
    </w:p>
    <w:p>
      <w:pPr>
        <w:pStyle w:val="56"/>
        <w:ind w:firstLine="420"/>
        <w:rPr>
          <w:rFonts w:hint="default" w:ascii="Times New Roman" w:hAnsi="Times New Roman" w:cs="Times New Roman"/>
        </w:rPr>
      </w:pPr>
      <w:r>
        <w:rPr>
          <w:rFonts w:hint="default" w:ascii="Times New Roman" w:hAnsi="Times New Roman" w:cs="Times New Roman"/>
        </w:rPr>
        <w:t>仪器测量前将零值进行校准的过程，本文件是将压力传感器校准至大气压水平。</w:t>
      </w:r>
    </w:p>
    <w:p>
      <w:pPr>
        <w:pStyle w:val="223"/>
        <w:ind w:left="420" w:hanging="420" w:hangingChars="200"/>
        <w:rPr>
          <w:rFonts w:hint="default" w:ascii="Times New Roman" w:hAnsi="Times New Roman" w:eastAsia="黑体" w:cs="Times New Roman"/>
        </w:rPr>
      </w:pPr>
      <w:r>
        <w:rPr>
          <w:rFonts w:hint="default" w:ascii="Times New Roman" w:hAnsi="Times New Roman" w:eastAsia="黑体" w:cs="Times New Roman"/>
        </w:rPr>
        <w:br w:type="textWrapping"/>
      </w:r>
      <w:r>
        <w:rPr>
          <w:rFonts w:hint="default" w:ascii="Times New Roman" w:hAnsi="Times New Roman" w:eastAsia="黑体" w:cs="Times New Roman"/>
        </w:rPr>
        <w:t>压力传感器 pressure transducer</w:t>
      </w:r>
    </w:p>
    <w:p>
      <w:pPr>
        <w:pStyle w:val="56"/>
        <w:ind w:firstLine="420"/>
        <w:rPr>
          <w:rFonts w:hint="default" w:ascii="Times New Roman" w:hAnsi="Times New Roman" w:cs="Times New Roman"/>
        </w:rPr>
      </w:pPr>
      <w:r>
        <w:rPr>
          <w:rFonts w:hint="default" w:ascii="Times New Roman" w:hAnsi="Times New Roman" w:cs="Times New Roman"/>
        </w:rPr>
        <w:t>能感受压力信号，并能将其转换成可用的输出电信号的器件或装置。</w:t>
      </w:r>
    </w:p>
    <w:p>
      <w:pPr>
        <w:pStyle w:val="104"/>
        <w:spacing w:before="312" w:after="312"/>
        <w:rPr>
          <w:rFonts w:hint="default" w:ascii="Times New Roman" w:hAnsi="Times New Roman" w:cs="Times New Roman"/>
        </w:rPr>
      </w:pPr>
      <w:bookmarkStart w:id="51" w:name="_Toc170333633"/>
      <w:r>
        <w:rPr>
          <w:rFonts w:hint="default" w:ascii="Times New Roman" w:hAnsi="Times New Roman" w:cs="Times New Roman"/>
        </w:rPr>
        <w:t>基本要求</w:t>
      </w:r>
      <w:bookmarkEnd w:id="51"/>
    </w:p>
    <w:p>
      <w:pPr>
        <w:pStyle w:val="162"/>
        <w:rPr>
          <w:rFonts w:hint="default" w:ascii="Times New Roman" w:hAnsi="Times New Roman" w:cs="Times New Roman"/>
        </w:rPr>
      </w:pPr>
      <w:r>
        <w:rPr>
          <w:rFonts w:hint="default" w:ascii="Times New Roman" w:hAnsi="Times New Roman" w:cs="Times New Roman"/>
        </w:rPr>
        <w:t>应遵医嘱进行有创动脉血压监测。</w:t>
      </w:r>
    </w:p>
    <w:p>
      <w:pPr>
        <w:pStyle w:val="162"/>
        <w:rPr>
          <w:rFonts w:hint="default" w:ascii="Times New Roman" w:hAnsi="Times New Roman" w:cs="Times New Roman"/>
          <w:szCs w:val="21"/>
        </w:rPr>
      </w:pPr>
      <w:r>
        <w:rPr>
          <w:rFonts w:hint="default" w:ascii="Times New Roman" w:hAnsi="Times New Roman" w:cs="Times New Roman"/>
        </w:rPr>
        <w:t>应遵循WS/T 433标准进行血管通路维护。</w:t>
      </w:r>
    </w:p>
    <w:p>
      <w:pPr>
        <w:pStyle w:val="162"/>
        <w:rPr>
          <w:rFonts w:hint="default" w:ascii="Times New Roman" w:hAnsi="Times New Roman" w:cs="Times New Roman"/>
          <w:szCs w:val="21"/>
        </w:rPr>
      </w:pPr>
      <w:r>
        <w:rPr>
          <w:rFonts w:hint="default" w:ascii="Times New Roman" w:hAnsi="Times New Roman" w:cs="Times New Roman"/>
        </w:rPr>
        <w:t>应每日评估保留动脉导管的必要性，尽早拔除。</w:t>
      </w:r>
    </w:p>
    <w:p>
      <w:pPr>
        <w:pStyle w:val="162"/>
        <w:rPr>
          <w:rFonts w:hint="default" w:ascii="Times New Roman" w:hAnsi="Times New Roman" w:cs="Times New Roman"/>
        </w:rPr>
      </w:pPr>
      <w:r>
        <w:rPr>
          <w:rFonts w:hint="default" w:ascii="Times New Roman" w:hAnsi="Times New Roman" w:cs="Times New Roman"/>
        </w:rPr>
        <w:t>操作时应遵循无菌原则，手卫生应符合WS/T 313 规定。</w:t>
      </w:r>
    </w:p>
    <w:p>
      <w:pPr>
        <w:pStyle w:val="104"/>
        <w:spacing w:before="312" w:after="312"/>
        <w:rPr>
          <w:rFonts w:hint="default" w:ascii="Times New Roman" w:hAnsi="Times New Roman" w:cs="Times New Roman"/>
        </w:rPr>
      </w:pPr>
      <w:bookmarkStart w:id="52" w:name="_Toc170333634"/>
      <w:r>
        <w:rPr>
          <w:rFonts w:hint="default" w:ascii="Times New Roman" w:hAnsi="Times New Roman" w:cs="Times New Roman"/>
        </w:rPr>
        <w:t>技术要点</w:t>
      </w:r>
      <w:bookmarkEnd w:id="52"/>
    </w:p>
    <w:p>
      <w:pPr>
        <w:pStyle w:val="105"/>
        <w:spacing w:before="156" w:after="156"/>
        <w:rPr>
          <w:rFonts w:hint="default" w:ascii="Times New Roman" w:hAnsi="Times New Roman" w:cs="Times New Roman"/>
        </w:rPr>
      </w:pPr>
      <w:bookmarkStart w:id="53" w:name="_Toc170333635"/>
      <w:r>
        <w:rPr>
          <w:rFonts w:hint="default" w:ascii="Times New Roman" w:hAnsi="Times New Roman" w:cs="Times New Roman"/>
        </w:rPr>
        <w:t>动脉置管前评估</w:t>
      </w:r>
      <w:bookmarkEnd w:id="53"/>
    </w:p>
    <w:p>
      <w:pPr>
        <w:pStyle w:val="165"/>
        <w:rPr>
          <w:rFonts w:hint="default" w:ascii="Times New Roman" w:hAnsi="Times New Roman" w:cs="Times New Roman"/>
        </w:rPr>
      </w:pPr>
      <w:r>
        <w:rPr>
          <w:rFonts w:hint="default" w:ascii="Times New Roman" w:hAnsi="Times New Roman" w:cs="Times New Roman"/>
        </w:rPr>
        <w:t>应评估患者的合作程度。烦躁/不能配合的患者应与医生沟通调整镇静镇痛方案，或在穿刺前予利多卡因局部麻醉。</w:t>
      </w:r>
    </w:p>
    <w:p>
      <w:pPr>
        <w:pStyle w:val="165"/>
        <w:rPr>
          <w:rFonts w:hint="default" w:ascii="Times New Roman" w:hAnsi="Times New Roman" w:cs="Times New Roman"/>
        </w:rPr>
      </w:pPr>
      <w:r>
        <w:rPr>
          <w:rFonts w:hint="default" w:ascii="Times New Roman" w:hAnsi="Times New Roman" w:cs="Times New Roman"/>
        </w:rPr>
        <w:t>置管部位以桡动脉、股动脉、肱动脉、尺动脉、足背动脉或腋动脉等为宜，首选桡动脉。</w:t>
      </w:r>
    </w:p>
    <w:p>
      <w:pPr>
        <w:pStyle w:val="165"/>
        <w:rPr>
          <w:rFonts w:hint="default" w:ascii="Times New Roman" w:hAnsi="Times New Roman" w:cs="Times New Roman"/>
        </w:rPr>
      </w:pPr>
      <w:r>
        <w:rPr>
          <w:rFonts w:hint="default" w:ascii="Times New Roman" w:hAnsi="Times New Roman" w:cs="Times New Roman"/>
        </w:rPr>
        <w:t>应评估患者病情、治疗情况、穿刺侧肢体及局部皮肤情况。凝血功能障碍或使用抗凝剂患者，</w:t>
      </w:r>
    </w:p>
    <w:p>
      <w:pPr>
        <w:pStyle w:val="132"/>
        <w:rPr>
          <w:rFonts w:hint="default" w:ascii="Times New Roman" w:hAnsi="Times New Roman" w:cs="Times New Roman"/>
        </w:rPr>
      </w:pPr>
      <w:r>
        <w:rPr>
          <w:rFonts w:hint="default" w:ascii="Times New Roman" w:hAnsi="Times New Roman" w:cs="Times New Roman"/>
        </w:rPr>
        <w:t>应谨慎选择动脉血管，避免反复穿刺。特殊患者应避开以下部位：</w:t>
      </w:r>
    </w:p>
    <w:p>
      <w:pPr>
        <w:pStyle w:val="132"/>
        <w:rPr>
          <w:rFonts w:hint="default" w:ascii="Times New Roman" w:hAnsi="Times New Roman" w:cs="Times New Roman"/>
        </w:rPr>
      </w:pPr>
      <w:r>
        <w:rPr>
          <w:rFonts w:hint="default" w:ascii="Times New Roman" w:hAnsi="Times New Roman" w:cs="Times New Roman"/>
        </w:rPr>
        <w:t>活动性雷诺综合征的患者应避免穿刺桡动脉；</w:t>
      </w:r>
    </w:p>
    <w:p>
      <w:pPr>
        <w:pStyle w:val="132"/>
        <w:rPr>
          <w:rFonts w:hint="default" w:ascii="Times New Roman" w:hAnsi="Times New Roman" w:cs="Times New Roman"/>
        </w:rPr>
      </w:pPr>
      <w:r>
        <w:rPr>
          <w:rFonts w:hint="default" w:ascii="Times New Roman" w:hAnsi="Times New Roman" w:cs="Times New Roman"/>
        </w:rPr>
        <w:t>下肢有糖尿病并发症或严重外周动脉疾病的患者应避免穿刺足背动脉；</w:t>
      </w:r>
    </w:p>
    <w:p>
      <w:pPr>
        <w:pStyle w:val="132"/>
        <w:rPr>
          <w:rFonts w:hint="default" w:ascii="Times New Roman" w:hAnsi="Times New Roman" w:cs="Times New Roman"/>
        </w:rPr>
      </w:pPr>
      <w:r>
        <w:rPr>
          <w:rFonts w:hint="default" w:ascii="Times New Roman" w:hAnsi="Times New Roman" w:cs="Times New Roman"/>
        </w:rPr>
        <w:t>应避免穿刺存在局部感染、血栓或解剖结构改变的部位，如既往手术、先天性或获得性畸形、烧伤、动脉瘤、血管闭塞、动脉炎、支架、动静脉瘘及血管移植物等。</w:t>
      </w:r>
    </w:p>
    <w:p>
      <w:pPr>
        <w:pStyle w:val="165"/>
        <w:rPr>
          <w:rFonts w:hint="default" w:ascii="Times New Roman" w:hAnsi="Times New Roman" w:cs="Times New Roman"/>
        </w:rPr>
      </w:pPr>
      <w:r>
        <w:rPr>
          <w:rFonts w:hint="default" w:ascii="Times New Roman" w:hAnsi="Times New Roman" w:cs="Times New Roman"/>
        </w:rPr>
        <w:t>桡动脉穿刺前应进行Allen试验或改良Allen试验（参见附录A），结果阳性方可进行桡动脉置管，否则选取其他血管；无法配合的患者可采用多普勒超声检查远端血管灌注情况，或结合穿刺侧末梢脉搏血氧饱和度监测进行改良Allen试验。</w:t>
      </w:r>
    </w:p>
    <w:p>
      <w:pPr>
        <w:pStyle w:val="105"/>
        <w:spacing w:before="156" w:after="156"/>
        <w:rPr>
          <w:rFonts w:hint="default" w:ascii="Times New Roman" w:hAnsi="Times New Roman" w:cs="Times New Roman"/>
        </w:rPr>
      </w:pPr>
      <w:bookmarkStart w:id="54" w:name="_Toc170333636"/>
      <w:r>
        <w:rPr>
          <w:rFonts w:hint="default" w:ascii="Times New Roman" w:hAnsi="Times New Roman" w:cs="Times New Roman"/>
        </w:rPr>
        <w:t>动脉置管及管路连接</w:t>
      </w:r>
      <w:bookmarkEnd w:id="54"/>
    </w:p>
    <w:p>
      <w:pPr>
        <w:pStyle w:val="165"/>
        <w:rPr>
          <w:rFonts w:hint="default" w:ascii="Times New Roman" w:hAnsi="Times New Roman" w:cs="Times New Roman"/>
        </w:rPr>
      </w:pPr>
      <w:r>
        <w:rPr>
          <w:rFonts w:hint="default" w:ascii="Times New Roman" w:hAnsi="Times New Roman" w:cs="Times New Roman"/>
        </w:rPr>
        <w:t>应由培训合格的临床医护人员进行动脉导管置管。</w:t>
      </w:r>
    </w:p>
    <w:p>
      <w:pPr>
        <w:pStyle w:val="165"/>
        <w:rPr>
          <w:rFonts w:hint="default" w:ascii="Times New Roman" w:hAnsi="Times New Roman" w:cs="Times New Roman"/>
        </w:rPr>
      </w:pPr>
      <w:r>
        <w:rPr>
          <w:rFonts w:hint="default" w:ascii="Times New Roman" w:hAnsi="Times New Roman" w:cs="Times New Roman"/>
        </w:rPr>
        <w:t>宜使用动脉穿刺专用留置针，型号可选用18 G~20 G。</w:t>
      </w:r>
    </w:p>
    <w:p>
      <w:pPr>
        <w:pStyle w:val="165"/>
        <w:rPr>
          <w:rFonts w:hint="default" w:ascii="Times New Roman" w:hAnsi="Times New Roman" w:cs="Times New Roman"/>
        </w:rPr>
      </w:pPr>
      <w:r>
        <w:rPr>
          <w:rFonts w:hint="default" w:ascii="Times New Roman" w:hAnsi="Times New Roman" w:cs="Times New Roman"/>
        </w:rPr>
        <w:t>应选择动脉搏动最明显处穿刺，避免反复穿刺损伤血管。</w:t>
      </w:r>
    </w:p>
    <w:p>
      <w:pPr>
        <w:pStyle w:val="132"/>
        <w:rPr>
          <w:rFonts w:hint="default" w:ascii="Times New Roman" w:hAnsi="Times New Roman" w:cs="Times New Roman"/>
        </w:rPr>
      </w:pPr>
      <w:r>
        <w:rPr>
          <w:rFonts w:hint="default" w:ascii="Times New Roman" w:hAnsi="Times New Roman" w:cs="Times New Roman"/>
        </w:rPr>
        <w:t>血管较粗、动脉搏动较易触及者，可选择直接穿刺法或穿透法进行动脉置管（参见附录B）；</w:t>
      </w:r>
    </w:p>
    <w:p>
      <w:pPr>
        <w:pStyle w:val="132"/>
        <w:rPr>
          <w:rFonts w:hint="default" w:ascii="Times New Roman" w:hAnsi="Times New Roman" w:cs="Times New Roman"/>
        </w:rPr>
      </w:pPr>
      <w:r>
        <w:rPr>
          <w:rFonts w:hint="default" w:ascii="Times New Roman" w:hAnsi="Times New Roman" w:cs="Times New Roman"/>
        </w:rPr>
        <w:t>血管较细、不易触及者，宜使用超声辅助定位并引导穿刺和置入导管。</w:t>
      </w:r>
    </w:p>
    <w:p>
      <w:pPr>
        <w:pStyle w:val="165"/>
        <w:rPr>
          <w:rFonts w:hint="default" w:ascii="Times New Roman" w:hAnsi="Times New Roman" w:cs="Times New Roman"/>
        </w:rPr>
      </w:pPr>
      <w:r>
        <w:rPr>
          <w:rFonts w:hint="default" w:ascii="Times New Roman" w:hAnsi="Times New Roman" w:cs="Times New Roman"/>
        </w:rPr>
        <w:t>应选择一次性压力传感器套装连接动脉导管，排尽空气，保持管路的完整性和密闭性。</w:t>
      </w:r>
    </w:p>
    <w:p>
      <w:pPr>
        <w:pStyle w:val="165"/>
        <w:rPr>
          <w:rFonts w:hint="default" w:ascii="Times New Roman" w:hAnsi="Times New Roman" w:cs="Times New Roman"/>
        </w:rPr>
      </w:pPr>
      <w:r>
        <w:rPr>
          <w:rFonts w:hint="default" w:ascii="Times New Roman" w:hAnsi="Times New Roman" w:cs="Times New Roman"/>
        </w:rPr>
        <w:t>宜使用 0.9 %氯化钠注射液500 mL冲洗管道；需使用抗凝冲洗液时，可选1 U/mL ~ 2 U/mL 肝素生理盐水冲洗管</w:t>
      </w:r>
      <w:r>
        <w:rPr>
          <w:rFonts w:hint="default" w:ascii="Times New Roman" w:hAnsi="Times New Roman" w:cs="Times New Roman"/>
        </w:rPr>
        <w:t>道。冲洗液应每 24 h 更换1次。</w:t>
      </w:r>
    </w:p>
    <w:p>
      <w:pPr>
        <w:pStyle w:val="165"/>
        <w:rPr>
          <w:rFonts w:hint="default" w:ascii="Times New Roman" w:hAnsi="Times New Roman" w:cs="Times New Roman"/>
        </w:rPr>
      </w:pPr>
      <w:r>
        <w:rPr>
          <w:rFonts w:hint="default" w:ascii="Times New Roman" w:hAnsi="Times New Roman" w:cs="Times New Roman"/>
        </w:rPr>
        <w:t>应维持加压袋内的压力为 300 mmHg（1 mmHg=0.133 kPa），冲洗液容量应 ≥ 1/4。</w:t>
      </w:r>
    </w:p>
    <w:p>
      <w:pPr>
        <w:pStyle w:val="105"/>
        <w:spacing w:before="156" w:after="156"/>
        <w:rPr>
          <w:rFonts w:hint="default" w:ascii="Times New Roman" w:hAnsi="Times New Roman" w:cs="Times New Roman"/>
        </w:rPr>
      </w:pPr>
      <w:bookmarkStart w:id="55" w:name="_Toc170333637"/>
      <w:r>
        <w:rPr>
          <w:rFonts w:hint="default" w:ascii="Times New Roman" w:hAnsi="Times New Roman" w:cs="Times New Roman"/>
        </w:rPr>
        <w:t>压力监测</w:t>
      </w:r>
      <w:bookmarkEnd w:id="55"/>
    </w:p>
    <w:p>
      <w:pPr>
        <w:pStyle w:val="165"/>
        <w:rPr>
          <w:rFonts w:hint="default" w:ascii="Times New Roman" w:hAnsi="Times New Roman" w:cs="Times New Roman"/>
        </w:rPr>
      </w:pPr>
      <w:r>
        <w:rPr>
          <w:rFonts w:hint="default" w:ascii="Times New Roman" w:hAnsi="Times New Roman" w:cs="Times New Roman"/>
        </w:rPr>
        <w:t>应以心脏水平为零点位置（可参考胸廓前后径中点第4肋间水平），并将压力传感器与零点位</w:t>
      </w:r>
    </w:p>
    <w:p>
      <w:pPr>
        <w:pStyle w:val="56"/>
        <w:ind w:firstLine="420"/>
        <w:rPr>
          <w:rFonts w:hint="default" w:ascii="Times New Roman" w:hAnsi="Times New Roman" w:cs="Times New Roman"/>
        </w:rPr>
      </w:pPr>
      <w:r>
        <w:rPr>
          <w:rFonts w:hint="default" w:ascii="Times New Roman" w:hAnsi="Times New Roman" w:cs="Times New Roman"/>
        </w:rPr>
        <w:t>置始终保持同一水平。</w:t>
      </w:r>
    </w:p>
    <w:p>
      <w:pPr>
        <w:pStyle w:val="165"/>
        <w:rPr>
          <w:rFonts w:hint="default" w:ascii="Times New Roman" w:hAnsi="Times New Roman" w:cs="Times New Roman"/>
        </w:rPr>
      </w:pPr>
      <w:r>
        <w:rPr>
          <w:rFonts w:hint="default" w:ascii="Times New Roman" w:hAnsi="Times New Roman" w:cs="Times New Roman"/>
        </w:rPr>
        <w:t>校零前应进行方波试验，波形正常方可校零。方波试验波形分析参见附录C。</w:t>
      </w:r>
    </w:p>
    <w:p>
      <w:pPr>
        <w:pStyle w:val="165"/>
        <w:rPr>
          <w:rFonts w:hint="default" w:ascii="Times New Roman" w:hAnsi="Times New Roman" w:cs="Times New Roman"/>
        </w:rPr>
      </w:pPr>
      <w:r>
        <w:rPr>
          <w:rFonts w:hint="default" w:ascii="Times New Roman" w:hAnsi="Times New Roman" w:cs="Times New Roman"/>
        </w:rPr>
        <w:t>首次测量前应先校零，具体方法见附录D。监测过程中若出现下列情况应重新校零：</w:t>
      </w:r>
    </w:p>
    <w:p>
      <w:pPr>
        <w:pStyle w:val="132"/>
        <w:rPr>
          <w:rFonts w:hint="default" w:ascii="Times New Roman" w:hAnsi="Times New Roman" w:cs="Times New Roman"/>
        </w:rPr>
      </w:pPr>
      <w:r>
        <w:rPr>
          <w:rFonts w:hint="default" w:ascii="Times New Roman" w:hAnsi="Times New Roman" w:cs="Times New Roman"/>
        </w:rPr>
        <w:t>重新连接或更换监护仪；</w:t>
      </w:r>
    </w:p>
    <w:p>
      <w:pPr>
        <w:pStyle w:val="132"/>
        <w:rPr>
          <w:rFonts w:hint="default" w:ascii="Times New Roman" w:hAnsi="Times New Roman" w:cs="Times New Roman"/>
        </w:rPr>
      </w:pPr>
      <w:r>
        <w:rPr>
          <w:rFonts w:hint="default" w:ascii="Times New Roman" w:hAnsi="Times New Roman" w:cs="Times New Roman"/>
        </w:rPr>
        <w:t>重新连接或更换测压装置；</w:t>
      </w:r>
    </w:p>
    <w:p>
      <w:pPr>
        <w:pStyle w:val="132"/>
        <w:rPr>
          <w:rFonts w:hint="default" w:ascii="Times New Roman" w:hAnsi="Times New Roman" w:cs="Times New Roman"/>
        </w:rPr>
      </w:pPr>
      <w:r>
        <w:rPr>
          <w:rFonts w:hint="default" w:ascii="Times New Roman" w:hAnsi="Times New Roman" w:cs="Times New Roman"/>
        </w:rPr>
        <w:t>传感器位置改变；</w:t>
      </w:r>
    </w:p>
    <w:p>
      <w:pPr>
        <w:pStyle w:val="132"/>
        <w:rPr>
          <w:rFonts w:hint="default" w:ascii="Times New Roman" w:hAnsi="Times New Roman" w:cs="Times New Roman"/>
        </w:rPr>
      </w:pPr>
      <w:r>
        <w:rPr>
          <w:rFonts w:hint="default" w:ascii="Times New Roman" w:hAnsi="Times New Roman" w:cs="Times New Roman"/>
        </w:rPr>
        <w:t>怀疑数值不准确。</w:t>
      </w:r>
    </w:p>
    <w:p>
      <w:pPr>
        <w:pStyle w:val="165"/>
        <w:rPr>
          <w:rFonts w:hint="default" w:ascii="Times New Roman" w:hAnsi="Times New Roman" w:cs="Times New Roman"/>
        </w:rPr>
      </w:pPr>
      <w:r>
        <w:rPr>
          <w:rFonts w:hint="default" w:ascii="Times New Roman" w:hAnsi="Times New Roman" w:cs="Times New Roman"/>
        </w:rPr>
        <w:t>应在血压波形稳定后记录数值，正常波形见附录E。</w:t>
      </w:r>
    </w:p>
    <w:p>
      <w:pPr>
        <w:pStyle w:val="165"/>
        <w:rPr>
          <w:rFonts w:hint="default" w:ascii="Times New Roman" w:hAnsi="Times New Roman" w:cs="Times New Roman"/>
        </w:rPr>
      </w:pPr>
      <w:r>
        <w:rPr>
          <w:rFonts w:hint="default" w:ascii="Times New Roman" w:hAnsi="Times New Roman" w:cs="Times New Roman"/>
        </w:rPr>
        <w:t>应根据患者病情和目标血压设置报警范围，并进行动态调整。</w:t>
      </w:r>
    </w:p>
    <w:p>
      <w:pPr>
        <w:pStyle w:val="105"/>
        <w:spacing w:before="156" w:after="156"/>
        <w:rPr>
          <w:rFonts w:hint="default" w:ascii="Times New Roman" w:hAnsi="Times New Roman" w:cs="Times New Roman"/>
        </w:rPr>
      </w:pPr>
      <w:bookmarkStart w:id="56" w:name="_Toc170333638"/>
      <w:r>
        <w:rPr>
          <w:rFonts w:hint="default" w:ascii="Times New Roman" w:hAnsi="Times New Roman" w:cs="Times New Roman"/>
        </w:rPr>
        <w:t>管路维护</w:t>
      </w:r>
      <w:bookmarkEnd w:id="56"/>
    </w:p>
    <w:p>
      <w:pPr>
        <w:pStyle w:val="165"/>
        <w:rPr>
          <w:rFonts w:hint="default" w:ascii="Times New Roman" w:hAnsi="Times New Roman" w:cs="Times New Roman"/>
        </w:rPr>
      </w:pPr>
      <w:r>
        <w:rPr>
          <w:rFonts w:hint="default" w:ascii="Times New Roman" w:hAnsi="Times New Roman" w:cs="Times New Roman"/>
        </w:rPr>
        <w:t>宜选择无菌透明半透膜敷料，每7天更换1次。敷料受潮、松动、污染、穿刺点出血或渗血时应立即更换。</w:t>
      </w:r>
    </w:p>
    <w:p>
      <w:pPr>
        <w:pStyle w:val="165"/>
        <w:rPr>
          <w:rFonts w:hint="default" w:ascii="Times New Roman" w:hAnsi="Times New Roman" w:cs="Times New Roman"/>
        </w:rPr>
      </w:pPr>
      <w:r>
        <w:rPr>
          <w:rFonts w:hint="default" w:ascii="Times New Roman" w:hAnsi="Times New Roman" w:cs="Times New Roman"/>
        </w:rPr>
        <w:t>应妥善固定动脉导管及压力监测管路，避免管路扭曲、打折或牵拉；可使用导管固定装置将压力传感器固定于零点位置；躁动/不配合患者应加强固定，必要时可予保护性约束，防止导管滑脱。</w:t>
      </w:r>
    </w:p>
    <w:p>
      <w:pPr>
        <w:pStyle w:val="165"/>
        <w:rPr>
          <w:rFonts w:hint="default" w:ascii="Times New Roman" w:hAnsi="Times New Roman" w:cs="Times New Roman"/>
        </w:rPr>
      </w:pPr>
      <w:r>
        <w:rPr>
          <w:rFonts w:hint="default" w:ascii="Times New Roman" w:hAnsi="Times New Roman" w:cs="Times New Roman"/>
        </w:rPr>
        <w:t>动脉导管及压力监测管路应标识醒目，注明管路名称和开始使用日期。</w:t>
      </w:r>
    </w:p>
    <w:p>
      <w:pPr>
        <w:pStyle w:val="165"/>
        <w:rPr>
          <w:rFonts w:hint="default" w:ascii="Times New Roman" w:hAnsi="Times New Roman" w:cs="Times New Roman"/>
        </w:rPr>
      </w:pPr>
      <w:r>
        <w:rPr>
          <w:rFonts w:hint="default" w:ascii="Times New Roman" w:hAnsi="Times New Roman" w:cs="Times New Roman"/>
        </w:rPr>
        <w:t>如从动脉导管采集血标本，应在采集后立即冲净导管和三通内血迹。</w:t>
      </w:r>
    </w:p>
    <w:p>
      <w:pPr>
        <w:pStyle w:val="165"/>
        <w:rPr>
          <w:rFonts w:hint="default" w:ascii="Times New Roman" w:hAnsi="Times New Roman" w:cs="Times New Roman"/>
        </w:rPr>
      </w:pPr>
      <w:r>
        <w:rPr>
          <w:rFonts w:hint="default" w:ascii="Times New Roman" w:hAnsi="Times New Roman" w:cs="Times New Roman"/>
        </w:rPr>
        <w:t>压力传感器套装应至少每 96 h 更换 1 次。</w:t>
      </w:r>
    </w:p>
    <w:p>
      <w:pPr>
        <w:pStyle w:val="165"/>
        <w:rPr>
          <w:rFonts w:hint="default" w:ascii="Times New Roman" w:hAnsi="Times New Roman" w:cs="Times New Roman"/>
        </w:rPr>
      </w:pPr>
      <w:r>
        <w:rPr>
          <w:rFonts w:hint="default" w:ascii="Times New Roman" w:hAnsi="Times New Roman" w:cs="Times New Roman"/>
        </w:rPr>
        <w:t>外周动脉导管留置时间宜 ≤ 7 天，股动脉导管留置时间宜 ≤ 5 天，紧急情况置入的导管留置时间宜 ≤</w:t>
      </w:r>
      <w:bookmarkStart w:id="65" w:name="_GoBack"/>
      <w:bookmarkEnd w:id="65"/>
      <w:r>
        <w:rPr>
          <w:rFonts w:hint="default" w:ascii="Times New Roman" w:hAnsi="Times New Roman" w:cs="Times New Roman"/>
        </w:rPr>
        <w:t xml:space="preserve"> 48 h。</w:t>
      </w:r>
    </w:p>
    <w:p>
      <w:pPr>
        <w:pStyle w:val="104"/>
        <w:spacing w:before="312" w:after="312"/>
        <w:rPr>
          <w:rFonts w:hint="default" w:ascii="Times New Roman" w:hAnsi="Times New Roman" w:cs="Times New Roman"/>
        </w:rPr>
      </w:pPr>
      <w:bookmarkStart w:id="57" w:name="_Toc170333639"/>
      <w:r>
        <w:rPr>
          <w:rFonts w:hint="default" w:ascii="Times New Roman" w:hAnsi="Times New Roman" w:cs="Times New Roman"/>
        </w:rPr>
        <w:t>常见问题与处理</w:t>
      </w:r>
      <w:bookmarkEnd w:id="57"/>
    </w:p>
    <w:p>
      <w:pPr>
        <w:pStyle w:val="162"/>
        <w:rPr>
          <w:rFonts w:hint="default" w:ascii="Times New Roman" w:hAnsi="Times New Roman" w:cs="Times New Roman"/>
        </w:rPr>
      </w:pPr>
      <w:r>
        <w:rPr>
          <w:rFonts w:hint="default" w:ascii="Times New Roman" w:hAnsi="Times New Roman" w:cs="Times New Roman"/>
        </w:rPr>
        <w:t>应密切观察穿刺部位有无渗血、皮肤出血点等情况；如渗血、出血明显或血肿形成应立即拔除动脉导管，予局部按压和加压包扎。</w:t>
      </w:r>
    </w:p>
    <w:p>
      <w:pPr>
        <w:pStyle w:val="162"/>
        <w:rPr>
          <w:rFonts w:hint="default" w:ascii="Times New Roman" w:hAnsi="Times New Roman" w:cs="Times New Roman"/>
        </w:rPr>
      </w:pPr>
      <w:r>
        <w:rPr>
          <w:rFonts w:hint="default" w:ascii="Times New Roman" w:hAnsi="Times New Roman" w:cs="Times New Roman"/>
        </w:rPr>
        <w:t>当肢体出现缺血征象，如远端脉搏减弱、指/趾发绀或坏疽、肤色苍白、发凉及有疼痛感等异常变化时应立即拔除动脉导管。</w:t>
      </w:r>
    </w:p>
    <w:p>
      <w:pPr>
        <w:pStyle w:val="162"/>
        <w:rPr>
          <w:rFonts w:hint="default" w:ascii="Times New Roman" w:hAnsi="Times New Roman" w:cs="Times New Roman"/>
        </w:rPr>
      </w:pPr>
      <w:r>
        <w:rPr>
          <w:rFonts w:hint="default" w:ascii="Times New Roman" w:hAnsi="Times New Roman" w:cs="Times New Roman"/>
        </w:rPr>
        <w:t xml:space="preserve">若观察到管路中存在血凝块，应立即抽出血凝块，如不能移除，应更换压力传感器套装或拔除动脉导管。 </w:t>
      </w:r>
    </w:p>
    <w:p>
      <w:pPr>
        <w:pStyle w:val="162"/>
        <w:rPr>
          <w:rFonts w:hint="default" w:ascii="Times New Roman" w:hAnsi="Times New Roman" w:cs="Times New Roman"/>
        </w:rPr>
      </w:pPr>
      <w:r>
        <w:rPr>
          <w:rFonts w:hint="default" w:ascii="Times New Roman" w:hAnsi="Times New Roman" w:cs="Times New Roman"/>
        </w:rPr>
        <w:t>监测过程中应严密观察波形变化，如出现异常波形（见附录F），在排除干扰因素（如管路受压、打折、堵塞等）后及时汇报医生进行处理。</w:t>
      </w:r>
    </w:p>
    <w:p>
      <w:pPr>
        <w:pStyle w:val="162"/>
        <w:rPr>
          <w:rFonts w:hint="default" w:ascii="Times New Roman" w:hAnsi="Times New Roman" w:cs="Times New Roman"/>
        </w:rPr>
      </w:pPr>
      <w:r>
        <w:rPr>
          <w:rFonts w:hint="default" w:ascii="Times New Roman" w:hAnsi="Times New Roman" w:cs="Times New Roman"/>
        </w:rPr>
        <w:t>当监护仪显示患者血压数值大幅度变化或者怀疑其准确性时，应与无创血压进行对比，确定异常</w:t>
      </w:r>
    </w:p>
    <w:p>
      <w:pPr>
        <w:pStyle w:val="165"/>
        <w:numPr>
          <w:ilvl w:val="0"/>
          <w:numId w:val="0"/>
        </w:numPr>
        <w:rPr>
          <w:rFonts w:hint="default" w:ascii="Times New Roman" w:hAnsi="Times New Roman" w:cs="Times New Roman"/>
        </w:rPr>
      </w:pPr>
      <w:r>
        <w:rPr>
          <w:rFonts w:hint="default" w:ascii="Times New Roman" w:hAnsi="Times New Roman" w:cs="Times New Roman"/>
        </w:rPr>
        <w:t>血压为患者病情变化时及时汇报医生进行处理。</w:t>
      </w:r>
    </w:p>
    <w:p>
      <w:pPr>
        <w:pStyle w:val="165"/>
        <w:numPr>
          <w:ilvl w:val="0"/>
          <w:numId w:val="0"/>
        </w:numPr>
        <w:rPr>
          <w:rFonts w:hint="default" w:ascii="Times New Roman" w:hAnsi="Times New Roman" w:cs="Times New Roman"/>
        </w:rPr>
        <w:sectPr>
          <w:pgSz w:w="11906" w:h="16838"/>
          <w:pgMar w:top="1928" w:right="1134" w:bottom="1134" w:left="1134" w:header="1418" w:footer="1134" w:gutter="284"/>
          <w:pgNumType w:start="1"/>
          <w:cols w:space="425" w:num="1"/>
          <w:formProt w:val="0"/>
          <w:docGrid w:type="lines" w:linePitch="312" w:charSpace="0"/>
        </w:sectPr>
      </w:pPr>
    </w:p>
    <w:bookmarkEnd w:id="26"/>
    <w:p>
      <w:pPr>
        <w:pStyle w:val="198"/>
        <w:rPr>
          <w:rFonts w:hint="default" w:ascii="Times New Roman" w:hAnsi="Times New Roman" w:cs="Times New Roman"/>
          <w:vanish w:val="0"/>
        </w:rPr>
      </w:pPr>
      <w:bookmarkStart w:id="58" w:name="BookMark5"/>
    </w:p>
    <w:p>
      <w:pPr>
        <w:pStyle w:val="199"/>
        <w:rPr>
          <w:rFonts w:hint="default" w:ascii="Times New Roman" w:hAnsi="Times New Roman" w:cs="Times New Roman"/>
          <w:vanish w:val="0"/>
        </w:rPr>
      </w:pPr>
    </w:p>
    <w:p>
      <w:pPr>
        <w:pStyle w:val="76"/>
        <w:spacing w:after="156"/>
        <w:rPr>
          <w:rFonts w:hint="default" w:ascii="Times New Roman" w:hAnsi="Times New Roman" w:cs="Times New Roman"/>
        </w:rPr>
      </w:pPr>
      <w:r>
        <w:rPr>
          <w:rFonts w:hint="default" w:ascii="Times New Roman" w:hAnsi="Times New Roman" w:cs="Times New Roman"/>
        </w:rPr>
        <w:br w:type="textWrapping"/>
      </w:r>
      <w:bookmarkStart w:id="59" w:name="_Toc170333640"/>
      <w:r>
        <w:rPr>
          <w:rFonts w:hint="default" w:ascii="Times New Roman" w:hAnsi="Times New Roman" w:cs="Times New Roman"/>
        </w:rPr>
        <w:t>（资料性）</w:t>
      </w:r>
      <w:r>
        <w:rPr>
          <w:rFonts w:hint="default" w:ascii="Times New Roman" w:hAnsi="Times New Roman" w:cs="Times New Roman"/>
        </w:rPr>
        <w:br w:type="textWrapping"/>
      </w:r>
      <w:r>
        <w:rPr>
          <w:rFonts w:hint="default" w:ascii="Times New Roman" w:hAnsi="Times New Roman" w:cs="Times New Roman"/>
        </w:rPr>
        <w:t>Allen试验和改良Allen实验</w:t>
      </w:r>
      <w:bookmarkEnd w:id="59"/>
    </w:p>
    <w:p>
      <w:pPr>
        <w:pStyle w:val="77"/>
        <w:spacing w:before="156" w:after="156"/>
        <w:rPr>
          <w:rFonts w:hint="default" w:ascii="Times New Roman" w:hAnsi="Times New Roman" w:cs="Times New Roman"/>
        </w:rPr>
      </w:pPr>
      <w:r>
        <w:rPr>
          <w:rFonts w:hint="default" w:ascii="Times New Roman" w:hAnsi="Times New Roman" w:cs="Times New Roman"/>
        </w:rPr>
        <w:t>Allen试验和改良Allen实验</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278"/>
        <w:gridCol w:w="1418"/>
        <w:gridCol w:w="524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4" w:hRule="atLeast"/>
          <w:jc w:val="center"/>
        </w:trPr>
        <w:tc>
          <w:tcPr>
            <w:tcW w:w="2278" w:type="dxa"/>
            <w:tcBorders>
              <w:top w:val="single" w:color="auto" w:sz="8" w:space="0"/>
              <w:left w:val="single" w:color="auto" w:sz="8" w:space="0"/>
              <w:bottom w:val="single" w:color="auto" w:sz="8"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项目</w:t>
            </w:r>
          </w:p>
        </w:tc>
        <w:tc>
          <w:tcPr>
            <w:tcW w:w="1418" w:type="dxa"/>
            <w:tcBorders>
              <w:top w:val="single" w:color="auto" w:sz="8" w:space="0"/>
              <w:left w:val="single" w:color="auto" w:sz="4" w:space="0"/>
              <w:bottom w:val="single" w:color="auto" w:sz="8"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步骤顺序</w:t>
            </w:r>
          </w:p>
        </w:tc>
        <w:tc>
          <w:tcPr>
            <w:tcW w:w="5245" w:type="dxa"/>
            <w:tcBorders>
              <w:top w:val="single" w:color="auto" w:sz="8" w:space="0"/>
              <w:left w:val="single" w:color="auto" w:sz="4" w:space="0"/>
              <w:bottom w:val="single" w:color="auto" w:sz="8" w:space="0"/>
              <w:right w:val="single" w:color="auto" w:sz="8"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方法</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78" w:type="dxa"/>
            <w:vMerge w:val="restart"/>
            <w:tcBorders>
              <w:top w:val="nil"/>
              <w:left w:val="single" w:color="auto" w:sz="8" w:space="0"/>
              <w:bottom w:val="single" w:color="auto" w:sz="4"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Allen试验</w:t>
            </w:r>
          </w:p>
        </w:tc>
        <w:tc>
          <w:tcPr>
            <w:tcW w:w="1418" w:type="dxa"/>
            <w:tcBorders>
              <w:top w:val="single" w:color="auto" w:sz="8"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1</w:t>
            </w:r>
          </w:p>
        </w:tc>
        <w:tc>
          <w:tcPr>
            <w:tcW w:w="5245" w:type="dxa"/>
            <w:tcBorders>
              <w:top w:val="single" w:color="auto" w:sz="8"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嘱患者同时紧握双手1分钟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nil"/>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1418"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2</w:t>
            </w:r>
          </w:p>
        </w:tc>
        <w:tc>
          <w:tcPr>
            <w:tcW w:w="5245" w:type="dxa"/>
            <w:tcBorders>
              <w:top w:val="single" w:color="auto" w:sz="4"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检查者同时按住双手的桡动脉，阻断血液</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nil"/>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1418"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3</w:t>
            </w:r>
          </w:p>
        </w:tc>
        <w:tc>
          <w:tcPr>
            <w:tcW w:w="5245" w:type="dxa"/>
            <w:tcBorders>
              <w:top w:val="single" w:color="auto" w:sz="4"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嘱患者同时张开双手，比较双手的颜色变化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78" w:type="dxa"/>
            <w:vMerge w:val="restart"/>
            <w:tcBorders>
              <w:top w:val="single" w:color="auto" w:sz="4" w:space="0"/>
              <w:left w:val="single" w:color="auto" w:sz="8" w:space="0"/>
              <w:bottom w:val="single" w:color="auto" w:sz="4" w:space="0"/>
              <w:right w:val="single" w:color="auto" w:sz="4" w:space="0"/>
            </w:tcBorders>
            <w:vAlign w:val="center"/>
          </w:tcPr>
          <w:p>
            <w:pPr>
              <w:pStyle w:val="56"/>
              <w:ind w:firstLine="422"/>
              <w:rPr>
                <w:rFonts w:hint="default" w:ascii="Times New Roman" w:hAnsi="Times New Roman" w:cs="Times New Roman"/>
                <w:b/>
                <w:bCs/>
              </w:rPr>
            </w:pPr>
            <w:r>
              <w:rPr>
                <w:rFonts w:hint="default" w:ascii="Times New Roman" w:hAnsi="Times New Roman" w:cs="Times New Roman"/>
                <w:b/>
                <w:bCs/>
              </w:rPr>
              <w:t>改良Allen试验</w:t>
            </w:r>
          </w:p>
        </w:tc>
        <w:tc>
          <w:tcPr>
            <w:tcW w:w="1418"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1</w:t>
            </w:r>
          </w:p>
        </w:tc>
        <w:tc>
          <w:tcPr>
            <w:tcW w:w="5245" w:type="dxa"/>
            <w:tcBorders>
              <w:top w:val="single" w:color="auto" w:sz="4"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嘱患者握拳约30秒；若患者无法配合，检查者可握紧患者拳头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1418"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2</w:t>
            </w:r>
          </w:p>
        </w:tc>
        <w:tc>
          <w:tcPr>
            <w:tcW w:w="5245" w:type="dxa"/>
            <w:tcBorders>
              <w:top w:val="single" w:color="auto" w:sz="4"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检查者用手指分别同时压迫尺动脉与桡动脉，阻断血流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1418"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3</w:t>
            </w:r>
          </w:p>
        </w:tc>
        <w:tc>
          <w:tcPr>
            <w:tcW w:w="5245" w:type="dxa"/>
            <w:tcBorders>
              <w:top w:val="single" w:color="auto" w:sz="4"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数秒钟后，嘱患者伸开手指，此时手掌因缺血变苍白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1418"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4</w:t>
            </w:r>
          </w:p>
        </w:tc>
        <w:tc>
          <w:tcPr>
            <w:tcW w:w="5245" w:type="dxa"/>
            <w:tcBorders>
              <w:top w:val="single" w:color="auto" w:sz="4" w:space="0"/>
              <w:left w:val="single" w:color="auto" w:sz="4" w:space="0"/>
              <w:bottom w:val="single" w:color="auto" w:sz="4"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将压迫尺动脉的手指抬起，保持对桡动脉压迫，观察手掌颜色恢复的时间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278" w:type="dxa"/>
            <w:tcBorders>
              <w:top w:val="single" w:color="auto" w:sz="4" w:space="0"/>
              <w:left w:val="single" w:color="auto" w:sz="8" w:space="0"/>
              <w:bottom w:val="single" w:color="auto" w:sz="8"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评定标准</w:t>
            </w:r>
          </w:p>
        </w:tc>
        <w:tc>
          <w:tcPr>
            <w:tcW w:w="6663" w:type="dxa"/>
            <w:gridSpan w:val="2"/>
            <w:tcBorders>
              <w:top w:val="single" w:color="auto" w:sz="4" w:space="0"/>
              <w:left w:val="single" w:color="auto" w:sz="4" w:space="0"/>
              <w:bottom w:val="single" w:color="auto" w:sz="8" w:space="0"/>
              <w:right w:val="single" w:color="auto" w:sz="8"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阳性：手掌在5～15秒之内由苍白转红恢复，提示尺动脉供血良好，该侧桡动脉可用于动脉穿刺；</w:t>
            </w:r>
          </w:p>
          <w:p>
            <w:pPr>
              <w:pStyle w:val="56"/>
              <w:ind w:firstLine="420"/>
              <w:rPr>
                <w:rFonts w:hint="default" w:ascii="Times New Roman" w:hAnsi="Times New Roman" w:cs="Times New Roman"/>
              </w:rPr>
            </w:pPr>
            <w:r>
              <w:rPr>
                <w:rFonts w:hint="default" w:ascii="Times New Roman" w:hAnsi="Times New Roman" w:cs="Times New Roman"/>
              </w:rPr>
              <w:t>阴性：手掌颜色不能在5～15秒之内恢复，提示该侧手掌侧支循环不良，该侧桡动脉不宜穿刺。</w:t>
            </w:r>
          </w:p>
        </w:tc>
      </w:tr>
    </w:tbl>
    <w:p>
      <w:pPr>
        <w:pStyle w:val="56"/>
        <w:ind w:firstLine="420"/>
        <w:rPr>
          <w:rFonts w:hint="default" w:ascii="Times New Roman" w:hAnsi="Times New Roman" w:cs="Times New Roman"/>
        </w:rPr>
        <w:sectPr>
          <w:pgSz w:w="11906" w:h="16838"/>
          <w:pgMar w:top="1928" w:right="1134" w:bottom="1134" w:left="1134" w:header="1418" w:footer="1134" w:gutter="284"/>
          <w:cols w:space="425" w:num="1"/>
          <w:formProt w:val="0"/>
          <w:docGrid w:type="lines" w:linePitch="312" w:charSpace="0"/>
        </w:sectPr>
      </w:pPr>
    </w:p>
    <w:p>
      <w:pPr>
        <w:pStyle w:val="198"/>
        <w:rPr>
          <w:rFonts w:hint="default" w:ascii="Times New Roman" w:hAnsi="Times New Roman" w:cs="Times New Roman"/>
          <w:vanish w:val="0"/>
        </w:rPr>
      </w:pPr>
    </w:p>
    <w:p>
      <w:pPr>
        <w:pStyle w:val="199"/>
        <w:rPr>
          <w:rFonts w:hint="default" w:ascii="Times New Roman" w:hAnsi="Times New Roman" w:cs="Times New Roman"/>
          <w:vanish w:val="0"/>
        </w:rPr>
      </w:pPr>
    </w:p>
    <w:p>
      <w:pPr>
        <w:pStyle w:val="76"/>
        <w:spacing w:after="156"/>
        <w:rPr>
          <w:rFonts w:hint="default" w:ascii="Times New Roman" w:hAnsi="Times New Roman" w:cs="Times New Roman"/>
        </w:rPr>
      </w:pPr>
      <w:r>
        <w:rPr>
          <w:rFonts w:hint="default" w:ascii="Times New Roman" w:hAnsi="Times New Roman" w:cs="Times New Roman"/>
        </w:rPr>
        <w:br w:type="textWrapping"/>
      </w:r>
      <w:bookmarkStart w:id="60" w:name="_Toc170333641"/>
      <w:r>
        <w:rPr>
          <w:rFonts w:hint="default" w:ascii="Times New Roman" w:hAnsi="Times New Roman" w:cs="Times New Roman"/>
        </w:rPr>
        <w:t>（资料性）</w:t>
      </w:r>
      <w:r>
        <w:rPr>
          <w:rFonts w:hint="default" w:ascii="Times New Roman" w:hAnsi="Times New Roman" w:cs="Times New Roman"/>
        </w:rPr>
        <w:br w:type="textWrapping"/>
      </w:r>
      <w:r>
        <w:rPr>
          <w:rFonts w:hint="default" w:ascii="Times New Roman" w:hAnsi="Times New Roman" w:cs="Times New Roman"/>
        </w:rPr>
        <w:t>动脉穿刺方法</w:t>
      </w:r>
      <w:bookmarkEnd w:id="60"/>
    </w:p>
    <w:p>
      <w:pPr>
        <w:pStyle w:val="77"/>
        <w:spacing w:before="156" w:after="156"/>
        <w:rPr>
          <w:rFonts w:hint="default" w:ascii="Times New Roman" w:hAnsi="Times New Roman" w:cs="Times New Roman"/>
        </w:rPr>
      </w:pPr>
      <w:r>
        <w:rPr>
          <w:rFonts w:hint="default" w:ascii="Times New Roman" w:hAnsi="Times New Roman" w:cs="Times New Roman"/>
        </w:rPr>
        <w:t>动脉穿刺方法</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197"/>
        <w:gridCol w:w="553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1" w:hRule="atLeast"/>
          <w:jc w:val="center"/>
        </w:trPr>
        <w:tc>
          <w:tcPr>
            <w:tcW w:w="2197" w:type="dxa"/>
            <w:tcBorders>
              <w:top w:val="single" w:color="auto" w:sz="8" w:space="0"/>
              <w:left w:val="single" w:color="auto" w:sz="8" w:space="0"/>
              <w:bottom w:val="single" w:color="auto" w:sz="8"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方法名称</w:t>
            </w:r>
          </w:p>
        </w:tc>
        <w:tc>
          <w:tcPr>
            <w:tcW w:w="5533" w:type="dxa"/>
            <w:tcBorders>
              <w:top w:val="single" w:color="auto" w:sz="8" w:space="0"/>
              <w:left w:val="single" w:color="auto" w:sz="4" w:space="0"/>
              <w:bottom w:val="single" w:color="auto" w:sz="8" w:space="0"/>
              <w:right w:val="single" w:color="auto" w:sz="8"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具体内容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97" w:type="dxa"/>
            <w:tcBorders>
              <w:top w:val="single" w:color="auto" w:sz="8" w:space="0"/>
              <w:left w:val="single" w:color="auto" w:sz="8" w:space="0"/>
              <w:bottom w:val="single" w:color="auto" w:sz="4"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直接穿刺法</w:t>
            </w:r>
          </w:p>
        </w:tc>
        <w:tc>
          <w:tcPr>
            <w:tcW w:w="5533" w:type="dxa"/>
            <w:tcBorders>
              <w:top w:val="single" w:color="auto" w:sz="8" w:space="0"/>
              <w:left w:val="single" w:color="auto" w:sz="4" w:space="0"/>
              <w:bottom w:val="single" w:color="auto" w:sz="4" w:space="0"/>
              <w:right w:val="single" w:color="auto" w:sz="8" w:space="0"/>
            </w:tcBorders>
          </w:tcPr>
          <w:p>
            <w:pPr>
              <w:pStyle w:val="56"/>
              <w:ind w:firstLine="0" w:firstLineChars="0"/>
              <w:rPr>
                <w:rFonts w:hint="default" w:ascii="Times New Roman" w:hAnsi="Times New Roman" w:cs="Times New Roman"/>
              </w:rPr>
            </w:pPr>
            <w:r>
              <w:rPr>
                <w:rFonts w:hint="default" w:ascii="Times New Roman" w:hAnsi="Times New Roman" w:cs="Times New Roman"/>
              </w:rPr>
              <w:t>①评估动脉搏动部位和血管走向；</w:t>
            </w:r>
          </w:p>
          <w:p>
            <w:pPr>
              <w:pStyle w:val="56"/>
              <w:ind w:firstLine="0" w:firstLineChars="0"/>
              <w:rPr>
                <w:rFonts w:hint="default" w:ascii="Times New Roman" w:hAnsi="Times New Roman" w:cs="Times New Roman"/>
              </w:rPr>
            </w:pPr>
            <w:r>
              <w:rPr>
                <w:rFonts w:hint="default" w:ascii="Times New Roman" w:hAnsi="Times New Roman" w:cs="Times New Roman"/>
              </w:rPr>
              <w:t>②选好进针点，针尖指向与血流方向相反；</w:t>
            </w:r>
          </w:p>
          <w:p>
            <w:pPr>
              <w:pStyle w:val="56"/>
              <w:ind w:firstLine="0" w:firstLineChars="0"/>
              <w:rPr>
                <w:rFonts w:hint="default" w:ascii="Times New Roman" w:hAnsi="Times New Roman" w:cs="Times New Roman"/>
              </w:rPr>
            </w:pPr>
            <w:r>
              <w:rPr>
                <w:rFonts w:hint="default" w:ascii="Times New Roman" w:hAnsi="Times New Roman" w:cs="Times New Roman"/>
              </w:rPr>
              <w:t>③针体与皮肤夹角依据穿刺部位皮下组织厚度而异，桡动脉穿刺时将穿刺针与皮肤成15°~30°，股动脉穿刺时成 45°，足背动脉一般为15°~20°；</w:t>
            </w:r>
          </w:p>
          <w:p>
            <w:pPr>
              <w:pStyle w:val="56"/>
              <w:ind w:firstLine="0" w:firstLineChars="0"/>
              <w:rPr>
                <w:rFonts w:hint="default" w:ascii="Times New Roman" w:hAnsi="Times New Roman" w:cs="Times New Roman"/>
              </w:rPr>
            </w:pPr>
            <w:r>
              <w:rPr>
                <w:rFonts w:hint="default" w:ascii="Times New Roman" w:hAnsi="Times New Roman" w:cs="Times New Roman"/>
              </w:rPr>
              <w:t>④缓慢进针，有回血时，略压低穿刺针并向前推进2～3 mm，随后略退针芯，向前推送外套管；</w:t>
            </w:r>
          </w:p>
          <w:p>
            <w:pPr>
              <w:pStyle w:val="56"/>
              <w:ind w:firstLine="0" w:firstLineChars="0"/>
              <w:rPr>
                <w:rFonts w:hint="default" w:ascii="Times New Roman" w:hAnsi="Times New Roman" w:cs="Times New Roman"/>
              </w:rPr>
            </w:pPr>
            <w:r>
              <w:rPr>
                <w:rFonts w:hint="default" w:ascii="Times New Roman" w:hAnsi="Times New Roman" w:cs="Times New Roman"/>
              </w:rPr>
              <w:t>⑤随后撤出针芯，此时套管尾部应向外搏动性喷血，说明穿刺置管成功。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197" w:type="dxa"/>
            <w:tcBorders>
              <w:top w:val="single" w:color="auto" w:sz="4" w:space="0"/>
              <w:left w:val="single" w:color="auto" w:sz="8" w:space="0"/>
              <w:bottom w:val="single" w:color="auto" w:sz="8"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穿透法</w:t>
            </w:r>
          </w:p>
        </w:tc>
        <w:tc>
          <w:tcPr>
            <w:tcW w:w="5533" w:type="dxa"/>
            <w:tcBorders>
              <w:top w:val="single" w:color="auto" w:sz="4" w:space="0"/>
              <w:left w:val="single" w:color="auto" w:sz="4" w:space="0"/>
              <w:bottom w:val="single" w:color="auto" w:sz="8" w:space="0"/>
              <w:right w:val="single" w:color="auto" w:sz="8" w:space="0"/>
            </w:tcBorders>
          </w:tcPr>
          <w:p>
            <w:pPr>
              <w:pStyle w:val="56"/>
              <w:ind w:firstLine="0" w:firstLineChars="0"/>
              <w:rPr>
                <w:rFonts w:hint="default" w:ascii="Times New Roman" w:hAnsi="Times New Roman" w:cs="Times New Roman"/>
              </w:rPr>
            </w:pPr>
            <w:r>
              <w:rPr>
                <w:rFonts w:hint="default" w:ascii="Times New Roman" w:hAnsi="Times New Roman" w:cs="Times New Roman"/>
              </w:rPr>
              <w:t>①进针点、进针方向和角度同直接穿刺法；</w:t>
            </w:r>
          </w:p>
          <w:p>
            <w:pPr>
              <w:pStyle w:val="56"/>
              <w:ind w:firstLine="0" w:firstLineChars="0"/>
              <w:rPr>
                <w:rFonts w:hint="default" w:ascii="Times New Roman" w:hAnsi="Times New Roman" w:cs="Times New Roman"/>
              </w:rPr>
            </w:pPr>
            <w:r>
              <w:rPr>
                <w:rFonts w:hint="default" w:ascii="Times New Roman" w:hAnsi="Times New Roman" w:cs="Times New Roman"/>
              </w:rPr>
              <w:t>②见有回血时再向前推进1~2 mm左右（撤出针芯无回血即可）；</w:t>
            </w:r>
          </w:p>
          <w:p>
            <w:pPr>
              <w:pStyle w:val="56"/>
              <w:ind w:firstLine="0" w:firstLineChars="0"/>
              <w:rPr>
                <w:rFonts w:hint="default" w:ascii="Times New Roman" w:hAnsi="Times New Roman" w:cs="Times New Roman"/>
              </w:rPr>
            </w:pPr>
            <w:r>
              <w:rPr>
                <w:rFonts w:hint="default" w:ascii="Times New Roman" w:hAnsi="Times New Roman" w:cs="Times New Roman"/>
              </w:rPr>
              <w:t>③撤出针芯；</w:t>
            </w:r>
          </w:p>
          <w:p>
            <w:pPr>
              <w:pStyle w:val="56"/>
              <w:ind w:firstLine="0" w:firstLineChars="0"/>
              <w:rPr>
                <w:rFonts w:hint="default" w:ascii="Times New Roman" w:hAnsi="Times New Roman" w:cs="Times New Roman"/>
              </w:rPr>
            </w:pPr>
            <w:r>
              <w:rPr>
                <w:rFonts w:hint="default" w:ascii="Times New Roman" w:hAnsi="Times New Roman" w:cs="Times New Roman"/>
              </w:rPr>
              <w:t>④将套管缓慢后退，当出现喷血时停止退针，并立即将套管向前推进，送入时无阻力感且持续喷血，说明穿刺成功。</w:t>
            </w:r>
          </w:p>
        </w:tc>
      </w:tr>
    </w:tbl>
    <w:p>
      <w:pPr>
        <w:pStyle w:val="56"/>
        <w:ind w:firstLine="420"/>
        <w:rPr>
          <w:rFonts w:hint="default" w:ascii="Times New Roman" w:hAnsi="Times New Roman" w:cs="Times New Roman"/>
        </w:rPr>
        <w:sectPr>
          <w:pgSz w:w="11906" w:h="16838"/>
          <w:pgMar w:top="1928" w:right="1134" w:bottom="1134" w:left="1134" w:header="1418" w:footer="1134" w:gutter="284"/>
          <w:cols w:space="425" w:num="1"/>
          <w:formProt w:val="0"/>
          <w:docGrid w:type="lines" w:linePitch="312" w:charSpace="0"/>
        </w:sectPr>
      </w:pPr>
    </w:p>
    <w:p>
      <w:pPr>
        <w:pStyle w:val="198"/>
        <w:rPr>
          <w:rFonts w:hint="default" w:ascii="Times New Roman" w:hAnsi="Times New Roman" w:cs="Times New Roman"/>
          <w:vanish w:val="0"/>
        </w:rPr>
      </w:pPr>
    </w:p>
    <w:p>
      <w:pPr>
        <w:pStyle w:val="199"/>
        <w:rPr>
          <w:rFonts w:hint="default" w:ascii="Times New Roman" w:hAnsi="Times New Roman" w:cs="Times New Roman"/>
          <w:vanish w:val="0"/>
        </w:rPr>
      </w:pPr>
    </w:p>
    <w:p>
      <w:pPr>
        <w:pStyle w:val="76"/>
        <w:spacing w:after="156"/>
        <w:rPr>
          <w:rFonts w:hint="default" w:ascii="Times New Roman" w:hAnsi="Times New Roman" w:cs="Times New Roman"/>
        </w:rPr>
      </w:pPr>
      <w:r>
        <w:rPr>
          <w:rFonts w:hint="default" w:ascii="Times New Roman" w:hAnsi="Times New Roman" w:cs="Times New Roman"/>
        </w:rPr>
        <w:br w:type="textWrapping"/>
      </w:r>
      <w:bookmarkStart w:id="61" w:name="_Toc170333642"/>
      <w:r>
        <w:rPr>
          <w:rFonts w:hint="default" w:ascii="Times New Roman" w:hAnsi="Times New Roman" w:cs="Times New Roman"/>
        </w:rPr>
        <w:t>（资料性）</w:t>
      </w:r>
      <w:r>
        <w:rPr>
          <w:rFonts w:hint="default" w:ascii="Times New Roman" w:hAnsi="Times New Roman" w:cs="Times New Roman"/>
        </w:rPr>
        <w:br w:type="textWrapping"/>
      </w:r>
      <w:r>
        <w:rPr>
          <w:rFonts w:hint="default" w:ascii="Times New Roman" w:hAnsi="Times New Roman" w:cs="Times New Roman"/>
        </w:rPr>
        <w:t>方波实验</w:t>
      </w:r>
      <w:bookmarkEnd w:id="61"/>
    </w:p>
    <w:p>
      <w:pPr>
        <w:pStyle w:val="77"/>
        <w:spacing w:before="156" w:after="156"/>
        <w:rPr>
          <w:rFonts w:hint="default" w:ascii="Times New Roman" w:hAnsi="Times New Roman" w:cs="Times New Roman"/>
        </w:rPr>
      </w:pPr>
      <w:r>
        <w:rPr>
          <w:rFonts w:hint="default" w:ascii="Times New Roman" w:hAnsi="Times New Roman" w:cs="Times New Roman"/>
        </w:rPr>
        <w:t>方波实验及结果解析</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995"/>
        <w:gridCol w:w="3685"/>
        <w:gridCol w:w="369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6" w:hRule="atLeast"/>
          <w:jc w:val="center"/>
        </w:trPr>
        <w:tc>
          <w:tcPr>
            <w:tcW w:w="9374" w:type="dxa"/>
            <w:gridSpan w:val="3"/>
            <w:tcBorders>
              <w:top w:val="single" w:color="auto" w:sz="8" w:space="0"/>
              <w:left w:val="single" w:color="auto" w:sz="8" w:space="0"/>
              <w:bottom w:val="single" w:color="auto" w:sz="8" w:space="0"/>
              <w:right w:val="single" w:color="auto" w:sz="8"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方波试验：</w:t>
            </w:r>
            <w:r>
              <w:rPr>
                <w:rFonts w:hint="default" w:ascii="Times New Roman" w:hAnsi="Times New Roman" w:cs="Times New Roman"/>
              </w:rPr>
              <w:t>对压力监测系统进行快速冲洗，监护仪显示的波形会快速上升到顶端形成方波，继而出现衰减波直至返回基线，评估测量管路动态反应性的方法，也称快速冲洗试验。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995" w:type="dxa"/>
            <w:tcBorders>
              <w:top w:val="single" w:color="auto" w:sz="8"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方波试验正常</w:t>
            </w:r>
          </w:p>
        </w:tc>
        <w:tc>
          <w:tcPr>
            <w:tcW w:w="3685" w:type="dxa"/>
            <w:tcBorders>
              <w:top w:val="single" w:color="auto" w:sz="8"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1857375" cy="1333500"/>
                  <wp:effectExtent l="0" t="0" r="9525" b="0"/>
                  <wp:docPr id="18829660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966056" name="图片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57375" cy="1333500"/>
                          </a:xfrm>
                          <a:prstGeom prst="rect">
                            <a:avLst/>
                          </a:prstGeom>
                          <a:noFill/>
                          <a:ln>
                            <a:noFill/>
                          </a:ln>
                        </pic:spPr>
                      </pic:pic>
                    </a:graphicData>
                  </a:graphic>
                </wp:inline>
              </w:drawing>
            </w:r>
          </w:p>
        </w:tc>
        <w:tc>
          <w:tcPr>
            <w:tcW w:w="3694" w:type="dxa"/>
            <w:tcBorders>
              <w:top w:val="single" w:color="auto" w:sz="8"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方波快速下降至基线以下后再升至基线以上提示方波试验正常，波形传输正常，不需处理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995" w:type="dxa"/>
            <w:vMerge w:val="restart"/>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方波试验异常</w:t>
            </w:r>
          </w:p>
        </w:tc>
        <w:tc>
          <w:tcPr>
            <w:tcW w:w="3685"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1857375" cy="1333500"/>
                  <wp:effectExtent l="0" t="0" r="9525" b="0"/>
                  <wp:docPr id="13037371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37147" name="图片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57375" cy="1333500"/>
                          </a:xfrm>
                          <a:prstGeom prst="rect">
                            <a:avLst/>
                          </a:prstGeom>
                          <a:noFill/>
                          <a:ln>
                            <a:noFill/>
                          </a:ln>
                        </pic:spPr>
                      </pic:pic>
                    </a:graphicData>
                  </a:graphic>
                </wp:inline>
              </w:drawing>
            </w:r>
          </w:p>
        </w:tc>
        <w:tc>
          <w:tcPr>
            <w:tcW w:w="3694" w:type="dxa"/>
            <w:tcBorders>
              <w:top w:val="single" w:color="auto" w:sz="4"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阻尼过大，下降支的上升支消失，提示管道中有血凝块、气泡、加压袋压力不足、导管的扭结，会出现低估收缩压、高估舒张压、低估脉压、重搏切迹消失、细节丢失，应从管路中去除空气或血凝块、维持加压袋的充足压力，适当改变导管穿刺侧肢体位置或更换导管和动脉置管位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3685" w:type="dxa"/>
            <w:tcBorders>
              <w:top w:val="single" w:color="auto" w:sz="4" w:space="0"/>
              <w:left w:val="single" w:color="auto" w:sz="4" w:space="0"/>
              <w:bottom w:val="single" w:color="auto" w:sz="8"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1857375" cy="1371600"/>
                  <wp:effectExtent l="0" t="0" r="9525" b="0"/>
                  <wp:docPr id="212367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739" name="图片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57375" cy="1371600"/>
                          </a:xfrm>
                          <a:prstGeom prst="rect">
                            <a:avLst/>
                          </a:prstGeom>
                          <a:noFill/>
                          <a:ln>
                            <a:noFill/>
                          </a:ln>
                        </pic:spPr>
                      </pic:pic>
                    </a:graphicData>
                  </a:graphic>
                </wp:inline>
              </w:drawing>
            </w:r>
          </w:p>
        </w:tc>
        <w:tc>
          <w:tcPr>
            <w:tcW w:w="3694" w:type="dxa"/>
            <w:tcBorders>
              <w:top w:val="single" w:color="auto" w:sz="4" w:space="0"/>
              <w:left w:val="single" w:color="auto" w:sz="4" w:space="0"/>
              <w:bottom w:val="single" w:color="auto" w:sz="8"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阻尼不足时，下降支的上升支增加，提示三通太多或传感器损坏，会出现高估收缩压、低估舒张压、高估脉压、深重搏切迹、舒张期的非生理震荡，应及时减少或更换管路</w:t>
            </w:r>
          </w:p>
        </w:tc>
      </w:tr>
    </w:tbl>
    <w:p>
      <w:pPr>
        <w:pStyle w:val="56"/>
        <w:ind w:firstLine="0" w:firstLineChars="0"/>
        <w:rPr>
          <w:rFonts w:hint="default" w:ascii="Times New Roman" w:hAnsi="Times New Roman" w:cs="Times New Roman"/>
        </w:rPr>
        <w:sectPr>
          <w:pgSz w:w="11906" w:h="16838"/>
          <w:pgMar w:top="1928" w:right="1134" w:bottom="1134" w:left="1134" w:header="1418" w:footer="1134" w:gutter="284"/>
          <w:cols w:space="425" w:num="1"/>
          <w:formProt w:val="0"/>
          <w:docGrid w:type="lines" w:linePitch="312" w:charSpace="0"/>
        </w:sectPr>
      </w:pPr>
    </w:p>
    <w:p>
      <w:pPr>
        <w:pStyle w:val="198"/>
        <w:rPr>
          <w:rFonts w:hint="default" w:ascii="Times New Roman" w:hAnsi="Times New Roman" w:cs="Times New Roman"/>
          <w:vanish w:val="0"/>
        </w:rPr>
      </w:pPr>
    </w:p>
    <w:p>
      <w:pPr>
        <w:pStyle w:val="199"/>
        <w:rPr>
          <w:rFonts w:hint="default" w:ascii="Times New Roman" w:hAnsi="Times New Roman" w:cs="Times New Roman"/>
          <w:vanish w:val="0"/>
        </w:rPr>
      </w:pPr>
    </w:p>
    <w:p>
      <w:pPr>
        <w:pStyle w:val="76"/>
        <w:spacing w:after="156"/>
        <w:rPr>
          <w:rFonts w:hint="default" w:ascii="Times New Roman" w:hAnsi="Times New Roman" w:cs="Times New Roman"/>
        </w:rPr>
      </w:pPr>
      <w:r>
        <w:rPr>
          <w:rFonts w:hint="default" w:ascii="Times New Roman" w:hAnsi="Times New Roman" w:cs="Times New Roman"/>
        </w:rPr>
        <w:br w:type="textWrapping"/>
      </w:r>
      <w:bookmarkStart w:id="62" w:name="_Toc170333643"/>
      <w:r>
        <w:rPr>
          <w:rFonts w:hint="default" w:ascii="Times New Roman" w:hAnsi="Times New Roman" w:cs="Times New Roman"/>
        </w:rPr>
        <w:t>（资料性）</w:t>
      </w:r>
      <w:r>
        <w:rPr>
          <w:rFonts w:hint="default" w:ascii="Times New Roman" w:hAnsi="Times New Roman" w:cs="Times New Roman"/>
        </w:rPr>
        <w:br w:type="textWrapping"/>
      </w:r>
      <w:r>
        <w:rPr>
          <w:rFonts w:hint="default" w:ascii="Times New Roman" w:hAnsi="Times New Roman" w:cs="Times New Roman"/>
        </w:rPr>
        <w:t>有创动脉血压监测校零方法</w:t>
      </w:r>
      <w:bookmarkEnd w:id="62"/>
    </w:p>
    <w:p>
      <w:pPr>
        <w:pStyle w:val="230"/>
        <w:jc w:val="center"/>
        <w:rPr>
          <w:rFonts w:hint="default" w:ascii="Times New Roman" w:hAnsi="Times New Roman" w:cs="Times New Roman"/>
        </w:rPr>
      </w:pPr>
      <w:r>
        <w:rPr>
          <w:rFonts w:hint="default" w:ascii="Times New Roman" w:hAnsi="Times New Roman" w:cs="Times New Roman"/>
        </w:rPr>
        <w:drawing>
          <wp:inline distT="0" distB="0" distL="0" distR="0">
            <wp:extent cx="4647565" cy="2790190"/>
            <wp:effectExtent l="0" t="0" r="635" b="0"/>
            <wp:docPr id="75684349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43492" name="图片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647565" cy="2790190"/>
                    </a:xfrm>
                    <a:prstGeom prst="rect">
                      <a:avLst/>
                    </a:prstGeom>
                    <a:noFill/>
                    <a:ln>
                      <a:noFill/>
                    </a:ln>
                  </pic:spPr>
                </pic:pic>
              </a:graphicData>
            </a:graphic>
          </wp:inline>
        </w:drawing>
      </w:r>
    </w:p>
    <w:p>
      <w:pPr>
        <w:pStyle w:val="83"/>
        <w:spacing w:before="156" w:after="156"/>
        <w:rPr>
          <w:rFonts w:hint="default" w:ascii="Times New Roman" w:hAnsi="Times New Roman" w:cs="Times New Roman"/>
        </w:rPr>
      </w:pPr>
      <w:r>
        <w:rPr>
          <w:rFonts w:hint="default" w:ascii="Times New Roman" w:hAnsi="Times New Roman" w:cs="Times New Roman"/>
        </w:rPr>
        <w:t>有创动脉血压监测校零方法</w:t>
      </w:r>
    </w:p>
    <w:p>
      <w:pPr>
        <w:pStyle w:val="56"/>
        <w:ind w:firstLine="420"/>
        <w:rPr>
          <w:rFonts w:hint="default" w:ascii="Times New Roman" w:hAnsi="Times New Roman" w:cs="Times New Roman"/>
          <w:b/>
          <w:bCs/>
        </w:rPr>
      </w:pPr>
      <w:r>
        <w:rPr>
          <w:rFonts w:hint="default" w:ascii="Times New Roman" w:hAnsi="Times New Roman" w:cs="Times New Roman"/>
        </w:rPr>
        <w:t>如图所示，将压力传感器置于零点位置-心脏水平（可参考胸廓前后径中点第四肋间水平），旋转靠近压力传感器处的三通旋钮，关闭置管端同时使充液导管系统和大气相通，然后按监护仪“校零”键，当屏幕上显示为“0” mmHg或“校零成功”则表示系统校零成功，旋转三通旋钮，使置管端与充液导管系统相通，封闭与大气相通端。</w:t>
      </w:r>
    </w:p>
    <w:p>
      <w:pPr>
        <w:pStyle w:val="56"/>
        <w:ind w:firstLine="420"/>
        <w:rPr>
          <w:rFonts w:hint="default" w:ascii="Times New Roman" w:hAnsi="Times New Roman" w:cs="Times New Roman"/>
        </w:rPr>
        <w:sectPr>
          <w:pgSz w:w="11906" w:h="16838"/>
          <w:pgMar w:top="1928" w:right="1134" w:bottom="1134" w:left="1134" w:header="1418" w:footer="1134" w:gutter="284"/>
          <w:cols w:space="425" w:num="1"/>
          <w:formProt w:val="0"/>
          <w:docGrid w:type="lines" w:linePitch="312" w:charSpace="0"/>
        </w:sectPr>
      </w:pPr>
    </w:p>
    <w:p>
      <w:pPr>
        <w:pStyle w:val="198"/>
        <w:rPr>
          <w:rFonts w:hint="default" w:ascii="Times New Roman" w:hAnsi="Times New Roman" w:cs="Times New Roman"/>
          <w:vanish w:val="0"/>
        </w:rPr>
      </w:pPr>
    </w:p>
    <w:p>
      <w:pPr>
        <w:pStyle w:val="199"/>
        <w:rPr>
          <w:rFonts w:hint="default" w:ascii="Times New Roman" w:hAnsi="Times New Roman" w:cs="Times New Roman"/>
          <w:vanish w:val="0"/>
        </w:rPr>
      </w:pPr>
    </w:p>
    <w:p>
      <w:pPr>
        <w:pStyle w:val="76"/>
        <w:spacing w:after="156"/>
        <w:rPr>
          <w:rFonts w:hint="default" w:ascii="Times New Roman" w:hAnsi="Times New Roman" w:cs="Times New Roman"/>
        </w:rPr>
      </w:pPr>
      <w:r>
        <w:rPr>
          <w:rFonts w:hint="default" w:ascii="Times New Roman" w:hAnsi="Times New Roman" w:cs="Times New Roman"/>
        </w:rPr>
        <w:br w:type="textWrapping"/>
      </w:r>
      <w:bookmarkStart w:id="63" w:name="_Toc170333644"/>
      <w:r>
        <w:rPr>
          <w:rFonts w:hint="default" w:ascii="Times New Roman" w:hAnsi="Times New Roman" w:cs="Times New Roman"/>
        </w:rPr>
        <w:t>（资料性）</w:t>
      </w:r>
      <w:r>
        <w:rPr>
          <w:rFonts w:hint="default" w:ascii="Times New Roman" w:hAnsi="Times New Roman" w:cs="Times New Roman"/>
        </w:rPr>
        <w:br w:type="textWrapping"/>
      </w:r>
      <w:r>
        <w:rPr>
          <w:rFonts w:hint="default" w:ascii="Times New Roman" w:hAnsi="Times New Roman" w:cs="Times New Roman"/>
        </w:rPr>
        <w:t>有创动脉血压监测正常波形</w:t>
      </w:r>
      <w:bookmarkEnd w:id="63"/>
    </w:p>
    <w:p>
      <w:pPr>
        <w:pStyle w:val="77"/>
        <w:spacing w:before="156" w:after="156"/>
        <w:rPr>
          <w:rFonts w:hint="default" w:ascii="Times New Roman" w:hAnsi="Times New Roman" w:cs="Times New Roman"/>
        </w:rPr>
      </w:pPr>
      <w:r>
        <w:rPr>
          <w:rFonts w:hint="default" w:ascii="Times New Roman" w:hAnsi="Times New Roman" w:cs="Times New Roman"/>
        </w:rPr>
        <w:t>有创动脉血压监测正常波形</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3271"/>
        <w:gridCol w:w="610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271" w:type="dxa"/>
            <w:tcBorders>
              <w:top w:val="single" w:color="auto" w:sz="8" w:space="0"/>
              <w:left w:val="single" w:color="auto" w:sz="8" w:space="0"/>
              <w:bottom w:val="single" w:color="auto" w:sz="8"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定义</w:t>
            </w:r>
          </w:p>
        </w:tc>
        <w:tc>
          <w:tcPr>
            <w:tcW w:w="6103" w:type="dxa"/>
            <w:tcBorders>
              <w:top w:val="single" w:color="auto" w:sz="8" w:space="0"/>
              <w:left w:val="single" w:color="auto" w:sz="4" w:space="0"/>
              <w:bottom w:val="single" w:color="auto" w:sz="8"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由于收缩期左心室血液排入主动脉，然后在舒张期周围动脉将搏出的血排出所致，可分为收缩期成分和舒张期成分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271" w:type="dxa"/>
            <w:tcBorders>
              <w:top w:val="single" w:color="auto" w:sz="8"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成分</w:t>
            </w:r>
          </w:p>
        </w:tc>
        <w:tc>
          <w:tcPr>
            <w:tcW w:w="6103" w:type="dxa"/>
            <w:tcBorders>
              <w:top w:val="single" w:color="auto" w:sz="8"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1：收缩压上升支；2：收缩峰值压；3：收缩压下降支；4：重搏波切迹；5：舒张期排空；6：舒张末压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271" w:type="dxa"/>
            <w:vMerge w:val="restart"/>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含义</w:t>
            </w:r>
          </w:p>
        </w:tc>
        <w:tc>
          <w:tcPr>
            <w:tcW w:w="6103" w:type="dxa"/>
            <w:tcBorders>
              <w:top w:val="single" w:color="auto" w:sz="4"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1-3：动脉血压波形的收缩期成分在心电图R波之后，包括陡峭的压力上升支、压力峰和下降支，并与左心室收缩期射血相对应</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6103" w:type="dxa"/>
            <w:tcBorders>
              <w:top w:val="single" w:color="auto" w:sz="4"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4：动脉血压波形的下降支受重搏波切迹影响，反映了收缩期末主动脉瓣关闭</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p>
        </w:tc>
        <w:tc>
          <w:tcPr>
            <w:tcW w:w="6103" w:type="dxa"/>
            <w:tcBorders>
              <w:top w:val="single" w:color="auto" w:sz="4" w:space="0"/>
              <w:left w:val="single" w:color="auto" w:sz="4" w:space="0"/>
              <w:bottom w:val="single" w:color="auto" w:sz="8"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5-6：动脉血压波形的舒张期成分延迟出现在心电图的T波之后，其衰减在舒张期末达到最低点</w:t>
            </w:r>
          </w:p>
        </w:tc>
      </w:tr>
    </w:tbl>
    <w:p>
      <w:pPr>
        <w:pStyle w:val="56"/>
        <w:ind w:firstLine="420"/>
        <w:rPr>
          <w:rFonts w:hint="default" w:ascii="Times New Roman" w:hAnsi="Times New Roman" w:cs="Times New Roman"/>
        </w:rPr>
        <w:sectPr>
          <w:pgSz w:w="11906" w:h="16838"/>
          <w:pgMar w:top="1928" w:right="1134" w:bottom="1134" w:left="1134" w:header="1418" w:footer="1134" w:gutter="284"/>
          <w:cols w:space="425" w:num="1"/>
          <w:formProt w:val="0"/>
          <w:docGrid w:type="lines" w:linePitch="312" w:charSpace="0"/>
        </w:sectPr>
      </w:pPr>
    </w:p>
    <w:p>
      <w:pPr>
        <w:pStyle w:val="198"/>
        <w:rPr>
          <w:rFonts w:hint="default" w:ascii="Times New Roman" w:hAnsi="Times New Roman" w:cs="Times New Roman"/>
          <w:vanish w:val="0"/>
        </w:rPr>
      </w:pPr>
    </w:p>
    <w:p>
      <w:pPr>
        <w:pStyle w:val="199"/>
        <w:rPr>
          <w:rFonts w:hint="default" w:ascii="Times New Roman" w:hAnsi="Times New Roman" w:cs="Times New Roman"/>
          <w:vanish w:val="0"/>
        </w:rPr>
      </w:pPr>
    </w:p>
    <w:p>
      <w:pPr>
        <w:pStyle w:val="76"/>
        <w:spacing w:after="156"/>
        <w:rPr>
          <w:rFonts w:hint="default" w:ascii="Times New Roman" w:hAnsi="Times New Roman" w:cs="Times New Roman"/>
        </w:rPr>
      </w:pPr>
      <w:r>
        <w:rPr>
          <w:rFonts w:hint="default" w:ascii="Times New Roman" w:hAnsi="Times New Roman" w:cs="Times New Roman"/>
        </w:rPr>
        <w:br w:type="textWrapping"/>
      </w:r>
      <w:bookmarkStart w:id="64" w:name="_Toc170333645"/>
      <w:r>
        <w:rPr>
          <w:rFonts w:hint="default" w:ascii="Times New Roman" w:hAnsi="Times New Roman" w:cs="Times New Roman"/>
        </w:rPr>
        <w:t>（资料性）</w:t>
      </w:r>
      <w:r>
        <w:rPr>
          <w:rFonts w:hint="default" w:ascii="Times New Roman" w:hAnsi="Times New Roman" w:cs="Times New Roman"/>
        </w:rPr>
        <w:br w:type="textWrapping"/>
      </w:r>
      <w:r>
        <w:rPr>
          <w:rFonts w:hint="default" w:ascii="Times New Roman" w:hAnsi="Times New Roman" w:cs="Times New Roman"/>
        </w:rPr>
        <w:t>常见异常波形及原因</w:t>
      </w:r>
      <w:bookmarkEnd w:id="64"/>
    </w:p>
    <w:p>
      <w:pPr>
        <w:pStyle w:val="77"/>
        <w:spacing w:before="156" w:after="156"/>
        <w:rPr>
          <w:rFonts w:hint="default" w:ascii="Times New Roman" w:hAnsi="Times New Roman" w:cs="Times New Roman"/>
        </w:rPr>
      </w:pPr>
      <w:r>
        <w:rPr>
          <w:rFonts w:hint="default" w:ascii="Times New Roman" w:hAnsi="Times New Roman" w:cs="Times New Roman"/>
        </w:rPr>
        <w:t>有创动脉血压监测常见异常波形及原因</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572"/>
        <w:gridCol w:w="4210"/>
        <w:gridCol w:w="259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571" w:type="dxa"/>
            <w:gridSpan w:val="2"/>
            <w:tcBorders>
              <w:top w:val="single" w:color="auto" w:sz="8" w:space="0"/>
              <w:left w:val="single" w:color="auto" w:sz="8" w:space="0"/>
              <w:bottom w:val="single" w:color="auto" w:sz="8" w:space="0"/>
              <w:right w:val="single" w:color="auto" w:sz="4"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异常波形</w:t>
            </w:r>
          </w:p>
        </w:tc>
        <w:tc>
          <w:tcPr>
            <w:tcW w:w="2803" w:type="dxa"/>
            <w:tcBorders>
              <w:top w:val="single" w:color="auto" w:sz="8" w:space="0"/>
              <w:left w:val="single" w:color="auto" w:sz="4" w:space="0"/>
              <w:bottom w:val="single" w:color="auto" w:sz="8" w:space="0"/>
              <w:right w:val="single" w:color="auto" w:sz="8" w:space="0"/>
            </w:tcBorders>
            <w:vAlign w:val="center"/>
          </w:tcPr>
          <w:p>
            <w:pPr>
              <w:pStyle w:val="56"/>
              <w:ind w:firstLine="422"/>
              <w:rPr>
                <w:rFonts w:hint="default" w:ascii="Times New Roman" w:hAnsi="Times New Roman" w:cs="Times New Roman"/>
              </w:rPr>
            </w:pPr>
            <w:r>
              <w:rPr>
                <w:rFonts w:hint="default" w:ascii="Times New Roman" w:hAnsi="Times New Roman" w:cs="Times New Roman"/>
                <w:b/>
                <w:bCs/>
              </w:rPr>
              <w:t>常见原因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781" w:type="dxa"/>
            <w:tcBorders>
              <w:top w:val="single" w:color="auto" w:sz="8"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圆钝波</w:t>
            </w:r>
          </w:p>
        </w:tc>
        <w:tc>
          <w:tcPr>
            <w:tcW w:w="3790" w:type="dxa"/>
            <w:tcBorders>
              <w:top w:val="single" w:color="auto" w:sz="8"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p>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2057400" cy="619125"/>
                  <wp:effectExtent l="0" t="0" r="0" b="9525"/>
                  <wp:docPr id="29567106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71065" name="图片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057400" cy="619125"/>
                          </a:xfrm>
                          <a:prstGeom prst="rect">
                            <a:avLst/>
                          </a:prstGeom>
                          <a:noFill/>
                          <a:ln>
                            <a:noFill/>
                          </a:ln>
                        </pic:spPr>
                      </pic:pic>
                    </a:graphicData>
                  </a:graphic>
                </wp:inline>
              </w:drawing>
            </w:r>
          </w:p>
        </w:tc>
        <w:tc>
          <w:tcPr>
            <w:tcW w:w="2803" w:type="dxa"/>
            <w:tcBorders>
              <w:top w:val="single" w:color="auto" w:sz="8"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波幅中等度降低，上升和下降支缓慢，顶峰圆钝，重搏切迹不明显，见于心肌收缩功能低落或血容量不足</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781" w:type="dxa"/>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不规则波</w:t>
            </w:r>
          </w:p>
        </w:tc>
        <w:tc>
          <w:tcPr>
            <w:tcW w:w="3790"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2209800" cy="647700"/>
                  <wp:effectExtent l="0" t="0" r="0" b="0"/>
                  <wp:docPr id="60890652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06521" name="图片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209800" cy="647700"/>
                          </a:xfrm>
                          <a:prstGeom prst="rect">
                            <a:avLst/>
                          </a:prstGeom>
                          <a:noFill/>
                          <a:ln>
                            <a:noFill/>
                          </a:ln>
                        </pic:spPr>
                      </pic:pic>
                    </a:graphicData>
                  </a:graphic>
                </wp:inline>
              </w:drawing>
            </w:r>
          </w:p>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2247900" cy="647700"/>
                  <wp:effectExtent l="0" t="0" r="0" b="0"/>
                  <wp:docPr id="5512464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46456" name="图片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247900" cy="647700"/>
                          </a:xfrm>
                          <a:prstGeom prst="rect">
                            <a:avLst/>
                          </a:prstGeom>
                          <a:noFill/>
                          <a:ln>
                            <a:noFill/>
                          </a:ln>
                        </pic:spPr>
                      </pic:pic>
                    </a:graphicData>
                  </a:graphic>
                </wp:inline>
              </w:drawing>
            </w:r>
          </w:p>
        </w:tc>
        <w:tc>
          <w:tcPr>
            <w:tcW w:w="2803" w:type="dxa"/>
            <w:tcBorders>
              <w:top w:val="single" w:color="auto" w:sz="4"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波幅大小不等，早搏波的压力低平，见于心律失常患者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781" w:type="dxa"/>
            <w:tcBorders>
              <w:top w:val="single" w:color="auto" w:sz="4" w:space="0"/>
              <w:left w:val="single" w:color="auto" w:sz="8" w:space="0"/>
              <w:bottom w:val="single" w:color="auto" w:sz="4"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高尖波</w:t>
            </w:r>
          </w:p>
        </w:tc>
        <w:tc>
          <w:tcPr>
            <w:tcW w:w="3790" w:type="dxa"/>
            <w:tcBorders>
              <w:top w:val="single" w:color="auto" w:sz="4" w:space="0"/>
              <w:left w:val="single" w:color="auto" w:sz="4" w:space="0"/>
              <w:bottom w:val="single" w:color="auto" w:sz="4" w:space="0"/>
              <w:right w:val="single" w:color="auto" w:sz="4" w:space="0"/>
            </w:tcBorders>
            <w:vAlign w:val="center"/>
          </w:tcPr>
          <w:p>
            <w:pPr>
              <w:pStyle w:val="56"/>
              <w:ind w:firstLine="420"/>
              <w:rPr>
                <w:rFonts w:hint="default" w:ascii="Times New Roman" w:hAnsi="Times New Roman" w:cs="Times New Roman"/>
              </w:rPr>
            </w:pPr>
          </w:p>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2286000" cy="990600"/>
                  <wp:effectExtent l="0" t="0" r="0" b="0"/>
                  <wp:docPr id="4429386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38632" name="图片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86000" cy="990600"/>
                          </a:xfrm>
                          <a:prstGeom prst="rect">
                            <a:avLst/>
                          </a:prstGeom>
                          <a:noFill/>
                          <a:ln>
                            <a:noFill/>
                          </a:ln>
                        </pic:spPr>
                      </pic:pic>
                    </a:graphicData>
                  </a:graphic>
                </wp:inline>
              </w:drawing>
            </w:r>
          </w:p>
        </w:tc>
        <w:tc>
          <w:tcPr>
            <w:tcW w:w="2803" w:type="dxa"/>
            <w:tcBorders>
              <w:top w:val="single" w:color="auto" w:sz="4" w:space="0"/>
              <w:left w:val="single" w:color="auto" w:sz="4" w:space="0"/>
              <w:bottom w:val="single" w:color="auto" w:sz="4"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波峰高耸，上升支陡，重搏切迹不明显，舒张压低，脉压宽，见于高血压及主动脉瓣关闭不全。主动脉瓣狭窄者，下降支缓慢及坡度较大，舒张压较高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781" w:type="dxa"/>
            <w:tcBorders>
              <w:top w:val="single" w:color="auto" w:sz="4" w:space="0"/>
              <w:left w:val="single" w:color="auto" w:sz="8" w:space="0"/>
              <w:bottom w:val="single" w:color="auto" w:sz="8" w:space="0"/>
              <w:right w:val="single" w:color="auto" w:sz="4" w:space="0"/>
            </w:tcBorders>
            <w:vAlign w:val="center"/>
          </w:tcPr>
          <w:p>
            <w:pPr>
              <w:pStyle w:val="56"/>
              <w:ind w:firstLine="420"/>
              <w:rPr>
                <w:rFonts w:hint="default" w:ascii="Times New Roman" w:hAnsi="Times New Roman" w:cs="Times New Roman"/>
              </w:rPr>
            </w:pPr>
            <w:r>
              <w:rPr>
                <w:rFonts w:hint="default" w:ascii="Times New Roman" w:hAnsi="Times New Roman" w:cs="Times New Roman"/>
              </w:rPr>
              <w:t>低平波</w:t>
            </w:r>
          </w:p>
        </w:tc>
        <w:tc>
          <w:tcPr>
            <w:tcW w:w="3790" w:type="dxa"/>
            <w:tcBorders>
              <w:top w:val="single" w:color="auto" w:sz="4" w:space="0"/>
              <w:left w:val="single" w:color="auto" w:sz="4" w:space="0"/>
              <w:bottom w:val="single" w:color="auto" w:sz="8" w:space="0"/>
              <w:right w:val="single" w:color="auto" w:sz="4" w:space="0"/>
            </w:tcBorders>
            <w:vAlign w:val="center"/>
          </w:tcPr>
          <w:p>
            <w:pPr>
              <w:pStyle w:val="56"/>
              <w:ind w:firstLine="420"/>
              <w:rPr>
                <w:rFonts w:hint="default" w:ascii="Times New Roman" w:hAnsi="Times New Roman" w:cs="Times New Roman"/>
              </w:rPr>
            </w:pPr>
          </w:p>
          <w:p>
            <w:pPr>
              <w:pStyle w:val="56"/>
              <w:ind w:firstLine="420"/>
              <w:rPr>
                <w:rFonts w:hint="default" w:ascii="Times New Roman" w:hAnsi="Times New Roman" w:cs="Times New Roman"/>
              </w:rPr>
            </w:pPr>
            <w:r>
              <w:rPr>
                <w:rFonts w:hint="default" w:ascii="Times New Roman" w:hAnsi="Times New Roman" w:cs="Times New Roman"/>
              </w:rPr>
              <w:drawing>
                <wp:inline distT="0" distB="0" distL="0" distR="0">
                  <wp:extent cx="2400300" cy="619125"/>
                  <wp:effectExtent l="0" t="0" r="0" b="9525"/>
                  <wp:docPr id="27716839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68393" name="图片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0300" cy="619125"/>
                          </a:xfrm>
                          <a:prstGeom prst="rect">
                            <a:avLst/>
                          </a:prstGeom>
                          <a:noFill/>
                          <a:ln>
                            <a:noFill/>
                          </a:ln>
                        </pic:spPr>
                      </pic:pic>
                    </a:graphicData>
                  </a:graphic>
                </wp:inline>
              </w:drawing>
            </w:r>
          </w:p>
        </w:tc>
        <w:tc>
          <w:tcPr>
            <w:tcW w:w="2803" w:type="dxa"/>
            <w:tcBorders>
              <w:top w:val="single" w:color="auto" w:sz="4" w:space="0"/>
              <w:left w:val="single" w:color="auto" w:sz="4" w:space="0"/>
              <w:bottom w:val="single" w:color="auto" w:sz="8" w:space="0"/>
              <w:right w:val="single" w:color="auto" w:sz="8" w:space="0"/>
            </w:tcBorders>
            <w:vAlign w:val="center"/>
          </w:tcPr>
          <w:p>
            <w:pPr>
              <w:pStyle w:val="56"/>
              <w:ind w:firstLine="0" w:firstLineChars="0"/>
              <w:rPr>
                <w:rFonts w:hint="default" w:ascii="Times New Roman" w:hAnsi="Times New Roman" w:cs="Times New Roman"/>
              </w:rPr>
            </w:pPr>
            <w:r>
              <w:rPr>
                <w:rFonts w:hint="default" w:ascii="Times New Roman" w:hAnsi="Times New Roman" w:cs="Times New Roman"/>
              </w:rPr>
              <w:t>压力波上升和下降支缓慢，波幅低平，严重低血压，见于低血压性休克和低心排综合征</w:t>
            </w:r>
          </w:p>
        </w:tc>
      </w:tr>
      <w:bookmarkEnd w:id="58"/>
    </w:tbl>
    <w:p>
      <w:pPr>
        <w:pStyle w:val="56"/>
        <w:ind w:firstLine="420"/>
        <w:rPr>
          <w:rFonts w:hint="default" w:ascii="Times New Roman" w:hAnsi="Times New Roman" w:cs="Times New Roman"/>
        </w:rPr>
      </w:pPr>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fldChar w:fldCharType="begin"/>
    </w:r>
    <w:r>
      <w:instrText xml:space="preserve"> STYLEREF  标准文件_文件编号  \* MERGEFORMAT </w:instrText>
    </w:r>
    <w:r>
      <w:fldChar w:fldCharType="separate"/>
    </w:r>
    <w:r>
      <w:t>DB 32/T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32/T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dit="forms" w:enforcement="1" w:cryptProviderType="rsaAES" w:cryptAlgorithmClass="hash" w:cryptAlgorithmType="typeAny" w:cryptAlgorithmSid="14" w:cryptSpinCount="100000" w:hash="J+V6ckpVXnKkSYhRmuuE4/JQoe75EdmfsXGCqT4OmYxreNnYEtVhgBXZi/zypiYtShv9YZj35s97x28J9m3pZQ==" w:salt="Ij+gSXvIonIhM7yDktV2qQ=="/>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hmYTNmOTBhODg4NGNlY2EyMjk0MzE3NzkwMTU4NjUifQ=="/>
    <w:docVar w:name="KSO_WPS_MARK_KEY" w:val="6da4665a-51c3-4d49-8c87-8d8598e7b457"/>
  </w:docVars>
  <w:rsids>
    <w:rsidRoot w:val="00B75119"/>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A7D"/>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1D2A"/>
    <w:rsid w:val="00512F6E"/>
    <w:rsid w:val="00513038"/>
    <w:rsid w:val="00514174"/>
    <w:rsid w:val="00516088"/>
    <w:rsid w:val="00516B0B"/>
    <w:rsid w:val="00520060"/>
    <w:rsid w:val="005220EC"/>
    <w:rsid w:val="00523F95"/>
    <w:rsid w:val="00524D65"/>
    <w:rsid w:val="00525B16"/>
    <w:rsid w:val="00533D04"/>
    <w:rsid w:val="00534804"/>
    <w:rsid w:val="00534BDF"/>
    <w:rsid w:val="005354EA"/>
    <w:rsid w:val="0053585F"/>
    <w:rsid w:val="00535EC4"/>
    <w:rsid w:val="00535ED9"/>
    <w:rsid w:val="0053692B"/>
    <w:rsid w:val="00541853"/>
    <w:rsid w:val="00542460"/>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2EE0"/>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A7E9E"/>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119"/>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6DE3"/>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2C946C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0" w:name="toc 8"/>
    <w:lsdException w:uiPriority="0" w:name="toc 9"/>
    <w:lsdException w:unhideWhenUsed="0" w:uiPriority="0" w:semiHidden="0" w:name="Normal Indent"/>
    <w:lsdException w:unhideWhenUsed="0" w:uiPriority="0" w:name="footnote text"/>
    <w:lsdException w:uiPriority="99" w:name="annotation text"/>
    <w:lsdException w:unhideWhenUsed="0" w:uiPriority="99" w:semiHidden="0" w:name="header"/>
    <w:lsdException w:unhideWhenUsed="0" w:uiPriority="99" w:semiHidden="0" w:name="footer"/>
    <w:lsdException w:uiPriority="99" w:name="index heading"/>
    <w:lsdException w:qFormat="1" w:uiPriority="35" w:name="caption"/>
    <w:lsdException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semiHidden="0"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uiPriority w:val="39"/>
    <w:pPr>
      <w:tabs>
        <w:tab w:val="right" w:leader="dot" w:pos="9344"/>
      </w:tabs>
      <w:spacing w:line="300" w:lineRule="exact"/>
      <w:ind w:left="1259"/>
    </w:pPr>
    <w:rPr>
      <w:rFonts w:ascii="宋体"/>
    </w:rPr>
  </w:style>
  <w:style w:type="paragraph" w:styleId="12">
    <w:name w:val="Normal Indent"/>
    <w:basedOn w:val="1"/>
    <w:uiPriority w:val="0"/>
    <w:pPr>
      <w:ind w:firstLine="420"/>
    </w:pPr>
  </w:style>
  <w:style w:type="paragraph" w:styleId="13">
    <w:name w:val="Body Text"/>
    <w:basedOn w:val="1"/>
    <w:link w:val="86"/>
    <w:uiPriority w:val="0"/>
    <w:pPr>
      <w:spacing w:after="120"/>
    </w:pPr>
  </w:style>
  <w:style w:type="paragraph" w:styleId="14">
    <w:name w:val="toc 5"/>
    <w:basedOn w:val="1"/>
    <w:next w:val="1"/>
    <w:unhideWhenUsed/>
    <w:uiPriority w:val="39"/>
    <w:pPr>
      <w:ind w:left="839"/>
    </w:pPr>
    <w:rPr>
      <w:rFonts w:ascii="宋体"/>
    </w:rPr>
  </w:style>
  <w:style w:type="paragraph" w:styleId="15">
    <w:name w:val="toc 3"/>
    <w:basedOn w:val="1"/>
    <w:next w:val="1"/>
    <w:unhideWhenUsed/>
    <w:uiPriority w:val="39"/>
    <w:pPr>
      <w:spacing w:line="300" w:lineRule="exact"/>
      <w:ind w:left="420"/>
    </w:pPr>
    <w:rPr>
      <w:rFonts w:ascii="宋体"/>
    </w:rPr>
  </w:style>
  <w:style w:type="paragraph" w:styleId="16">
    <w:name w:val="Balloon Text"/>
    <w:basedOn w:val="1"/>
    <w:link w:val="45"/>
    <w:semiHidden/>
    <w:unhideWhenUsed/>
    <w:uiPriority w:val="99"/>
    <w:rPr>
      <w:sz w:val="18"/>
      <w:szCs w:val="18"/>
    </w:rPr>
  </w:style>
  <w:style w:type="paragraph" w:styleId="17">
    <w:name w:val="footer"/>
    <w:basedOn w:val="1"/>
    <w:link w:val="44"/>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uiPriority w:val="99"/>
    <w:pPr>
      <w:tabs>
        <w:tab w:val="center" w:pos="4153"/>
        <w:tab w:val="right" w:pos="8306"/>
      </w:tabs>
      <w:adjustRightInd/>
      <w:snapToGrid w:val="0"/>
      <w:jc w:val="center"/>
    </w:pPr>
    <w:rPr>
      <w:sz w:val="18"/>
      <w:szCs w:val="18"/>
    </w:rPr>
  </w:style>
  <w:style w:type="paragraph" w:styleId="19">
    <w:name w:val="toc 1"/>
    <w:basedOn w:val="1"/>
    <w:next w:val="1"/>
    <w:unhideWhenUsed/>
    <w:uiPriority w:val="39"/>
    <w:rPr>
      <w:rFonts w:ascii="宋体"/>
    </w:rPr>
  </w:style>
  <w:style w:type="paragraph" w:styleId="20">
    <w:name w:val="toc 4"/>
    <w:basedOn w:val="1"/>
    <w:next w:val="1"/>
    <w:unhideWhenUsed/>
    <w:uiPriority w:val="39"/>
    <w:pPr>
      <w:tabs>
        <w:tab w:val="right" w:leader="dot" w:pos="9344"/>
      </w:tabs>
      <w:spacing w:line="300" w:lineRule="exact"/>
      <w:ind w:left="629"/>
    </w:pPr>
    <w:rPr>
      <w:rFonts w:ascii="宋体"/>
    </w:rPr>
  </w:style>
  <w:style w:type="paragraph" w:styleId="21">
    <w:name w:val="footnote text"/>
    <w:basedOn w:val="1"/>
    <w:next w:val="1"/>
    <w:link w:val="99"/>
    <w:semiHidden/>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unhideWhenUsed/>
    <w:uiPriority w:val="39"/>
    <w:pPr>
      <w:spacing w:line="300" w:lineRule="exact"/>
      <w:ind w:left="1049"/>
    </w:pPr>
    <w:rPr>
      <w:rFonts w:ascii="宋体"/>
    </w:rPr>
  </w:style>
  <w:style w:type="paragraph" w:styleId="23">
    <w:name w:val="table of figures"/>
    <w:basedOn w:val="1"/>
    <w:next w:val="1"/>
    <w:semiHidden/>
    <w:uiPriority w:val="0"/>
    <w:pPr>
      <w:adjustRightInd/>
      <w:spacing w:line="240" w:lineRule="auto"/>
      <w:jc w:val="left"/>
    </w:pPr>
    <w:rPr>
      <w:szCs w:val="24"/>
    </w:rPr>
  </w:style>
  <w:style w:type="paragraph" w:styleId="24">
    <w:name w:val="toc 2"/>
    <w:basedOn w:val="1"/>
    <w:next w:val="1"/>
    <w:unhideWhenUsed/>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uiPriority w:val="0"/>
    <w:rPr>
      <w:rFonts w:ascii="宋体" w:hAnsi="Times New Roman" w:eastAsia="宋体"/>
      <w:sz w:val="18"/>
    </w:rPr>
  </w:style>
  <w:style w:type="character" w:styleId="31">
    <w:name w:val="Emphasis"/>
    <w:qFormat/>
    <w:uiPriority w:val="20"/>
    <w:rPr>
      <w:i/>
      <w:iCs/>
    </w:rPr>
  </w:style>
  <w:style w:type="character" w:styleId="32">
    <w:name w:val="Hyperlink"/>
    <w:uiPriority w:val="99"/>
    <w:rPr>
      <w:rFonts w:ascii="宋体" w:hAnsi="Times New Roman" w:eastAsia="宋体"/>
      <w:color w:val="auto"/>
      <w:spacing w:val="0"/>
      <w:w w:val="100"/>
      <w:position w:val="0"/>
      <w:sz w:val="21"/>
      <w:u w:val="none"/>
      <w:vertAlign w:val="baseline"/>
    </w:rPr>
  </w:style>
  <w:style w:type="character" w:styleId="33">
    <w:name w:val="footnote reference"/>
    <w:semiHidden/>
    <w:uiPriority w:val="0"/>
    <w:rPr>
      <w:rFonts w:ascii="宋体" w:hAnsi="宋体" w:eastAsia="宋体" w:cs="Times New Roman"/>
      <w:spacing w:val="0"/>
      <w:sz w:val="18"/>
      <w:vertAlign w:val="superscript"/>
    </w:rPr>
  </w:style>
  <w:style w:type="character" w:customStyle="1" w:styleId="34">
    <w:name w:val="标题 1 字符"/>
    <w:link w:val="2"/>
    <w:uiPriority w:val="0"/>
    <w:rPr>
      <w:b/>
      <w:bCs/>
      <w:kern w:val="44"/>
      <w:sz w:val="44"/>
      <w:szCs w:val="44"/>
    </w:rPr>
  </w:style>
  <w:style w:type="character" w:customStyle="1" w:styleId="35">
    <w:name w:val="标题 2 字符"/>
    <w:link w:val="3"/>
    <w:uiPriority w:val="0"/>
    <w:rPr>
      <w:rFonts w:ascii="Arial" w:hAnsi="Arial" w:eastAsia="黑体"/>
      <w:b/>
      <w:bCs/>
      <w:kern w:val="2"/>
      <w:sz w:val="32"/>
      <w:szCs w:val="32"/>
    </w:rPr>
  </w:style>
  <w:style w:type="character" w:customStyle="1" w:styleId="36">
    <w:name w:val="标题 3 字符"/>
    <w:link w:val="4"/>
    <w:uiPriority w:val="0"/>
    <w:rPr>
      <w:b/>
      <w:bCs/>
      <w:kern w:val="2"/>
      <w:sz w:val="32"/>
      <w:szCs w:val="32"/>
    </w:rPr>
  </w:style>
  <w:style w:type="character" w:customStyle="1" w:styleId="37">
    <w:name w:val="标题 4 字符"/>
    <w:link w:val="5"/>
    <w:uiPriority w:val="0"/>
    <w:rPr>
      <w:rFonts w:ascii="Arial" w:hAnsi="Arial" w:eastAsia="黑体"/>
      <w:b/>
      <w:bCs/>
      <w:kern w:val="2"/>
      <w:sz w:val="28"/>
      <w:szCs w:val="28"/>
    </w:rPr>
  </w:style>
  <w:style w:type="character" w:customStyle="1" w:styleId="38">
    <w:name w:val="标题 5 字符"/>
    <w:link w:val="6"/>
    <w:uiPriority w:val="0"/>
    <w:rPr>
      <w:b/>
      <w:bCs/>
      <w:kern w:val="2"/>
      <w:sz w:val="28"/>
      <w:szCs w:val="28"/>
    </w:rPr>
  </w:style>
  <w:style w:type="character" w:customStyle="1" w:styleId="39">
    <w:name w:val="标题 6 字符"/>
    <w:link w:val="7"/>
    <w:uiPriority w:val="0"/>
    <w:rPr>
      <w:rFonts w:ascii="Arial" w:hAnsi="Arial" w:eastAsia="黑体"/>
      <w:b/>
      <w:bCs/>
      <w:kern w:val="2"/>
      <w:sz w:val="24"/>
      <w:szCs w:val="24"/>
    </w:rPr>
  </w:style>
  <w:style w:type="character" w:customStyle="1" w:styleId="40">
    <w:name w:val="标题 7 字符"/>
    <w:link w:val="8"/>
    <w:uiPriority w:val="0"/>
    <w:rPr>
      <w:b/>
      <w:bCs/>
      <w:kern w:val="2"/>
      <w:sz w:val="24"/>
      <w:szCs w:val="24"/>
    </w:rPr>
  </w:style>
  <w:style w:type="character" w:customStyle="1" w:styleId="41">
    <w:name w:val="标题 8 字符"/>
    <w:link w:val="9"/>
    <w:uiPriority w:val="0"/>
    <w:rPr>
      <w:rFonts w:ascii="Arial" w:hAnsi="Arial" w:eastAsia="黑体"/>
      <w:kern w:val="2"/>
      <w:sz w:val="24"/>
      <w:szCs w:val="24"/>
    </w:rPr>
  </w:style>
  <w:style w:type="character" w:customStyle="1" w:styleId="42">
    <w:name w:val="标题 9 字符"/>
    <w:link w:val="10"/>
    <w:uiPriority w:val="0"/>
    <w:rPr>
      <w:rFonts w:ascii="Arial" w:hAnsi="Arial" w:eastAsia="黑体"/>
      <w:kern w:val="2"/>
      <w:sz w:val="21"/>
      <w:szCs w:val="21"/>
    </w:rPr>
  </w:style>
  <w:style w:type="character" w:customStyle="1" w:styleId="43">
    <w:name w:val="页眉 字符"/>
    <w:link w:val="18"/>
    <w:uiPriority w:val="99"/>
    <w:rPr>
      <w:kern w:val="2"/>
      <w:sz w:val="18"/>
      <w:szCs w:val="18"/>
    </w:rPr>
  </w:style>
  <w:style w:type="character" w:customStyle="1" w:styleId="44">
    <w:name w:val="页脚 字符"/>
    <w:link w:val="17"/>
    <w:uiPriority w:val="99"/>
    <w:rPr>
      <w:rFonts w:ascii="宋体"/>
      <w:kern w:val="2"/>
      <w:sz w:val="18"/>
      <w:szCs w:val="18"/>
    </w:rPr>
  </w:style>
  <w:style w:type="character" w:customStyle="1" w:styleId="45">
    <w:name w:val="批注框文本 字符"/>
    <w:link w:val="16"/>
    <w:semiHidden/>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uiPriority w:val="29"/>
    <w:rPr>
      <w:i/>
      <w:iCs/>
      <w:color w:val="000000"/>
      <w:kern w:val="2"/>
      <w:sz w:val="21"/>
      <w:szCs w:val="21"/>
    </w:rPr>
  </w:style>
  <w:style w:type="character" w:customStyle="1" w:styleId="48">
    <w:name w:val="标题 字符"/>
    <w:link w:val="25"/>
    <w:uiPriority w:val="0"/>
    <w:rPr>
      <w:rFonts w:ascii="Arial" w:hAnsi="Arial" w:cs="Arial"/>
      <w:b/>
      <w:bCs/>
      <w:kern w:val="2"/>
      <w:sz w:val="32"/>
      <w:szCs w:val="32"/>
    </w:rPr>
  </w:style>
  <w:style w:type="paragraph" w:customStyle="1" w:styleId="49">
    <w:name w:val="标准标志"/>
    <w:next w:val="1"/>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uiPriority w:val="0"/>
    <w:pPr>
      <w:ind w:left="198"/>
    </w:pPr>
    <w:rPr>
      <w:rFonts w:ascii="宋体" w:hAnsi="Times New Roman" w:eastAsia="宋体" w:cs="Times New Roman"/>
      <w:sz w:val="18"/>
      <w:lang w:val="en-US" w:eastAsia="zh-CN" w:bidi="ar-SA"/>
    </w:rPr>
  </w:style>
  <w:style w:type="paragraph" w:customStyle="1" w:styleId="52">
    <w:name w:val="标准文件_页脚奇数页"/>
    <w:uiPriority w:val="0"/>
    <w:pPr>
      <w:ind w:right="227"/>
      <w:jc w:val="right"/>
    </w:pPr>
    <w:rPr>
      <w:rFonts w:ascii="宋体" w:hAnsi="Times New Roman" w:eastAsia="宋体" w:cs="Times New Roman"/>
      <w:sz w:val="18"/>
      <w:lang w:val="en-US" w:eastAsia="zh-CN" w:bidi="ar-SA"/>
    </w:rPr>
  </w:style>
  <w:style w:type="paragraph" w:customStyle="1" w:styleId="53">
    <w:name w:val="标准书眉一"/>
    <w:uiPriority w:val="0"/>
    <w:pPr>
      <w:jc w:val="both"/>
    </w:pPr>
    <w:rPr>
      <w:rFonts w:ascii="Times New Roman" w:hAnsi="Times New Roman" w:eastAsia="宋体" w:cs="Times New Roman"/>
      <w:lang w:val="en-US" w:eastAsia="zh-CN" w:bidi="ar-SA"/>
    </w:rPr>
  </w:style>
  <w:style w:type="paragraph" w:customStyle="1" w:styleId="54">
    <w:name w:val="标准文件_ICS"/>
    <w:basedOn w:val="1"/>
    <w:uiPriority w:val="0"/>
    <w:pPr>
      <w:spacing w:line="0" w:lineRule="atLeast"/>
    </w:pPr>
    <w:rPr>
      <w:rFonts w:ascii="黑体" w:hAnsi="宋体" w:eastAsia="黑体"/>
    </w:rPr>
  </w:style>
  <w:style w:type="paragraph" w:customStyle="1" w:styleId="55">
    <w:name w:val="标准文件_标准正文"/>
    <w:basedOn w:val="1"/>
    <w:next w:val="56"/>
    <w:uiPriority w:val="0"/>
    <w:pPr>
      <w:snapToGrid w:val="0"/>
      <w:ind w:firstLine="200" w:firstLineChars="200"/>
    </w:pPr>
    <w:rPr>
      <w:kern w:val="0"/>
    </w:rPr>
  </w:style>
  <w:style w:type="paragraph" w:customStyle="1" w:styleId="56">
    <w:name w:val="标准文件_段"/>
    <w:link w:val="184"/>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uiPriority w:val="0"/>
    <w:pPr>
      <w:adjustRightInd/>
      <w:snapToGrid/>
      <w:ind w:firstLine="0" w:firstLineChars="0"/>
    </w:pPr>
    <w:rPr>
      <w:rFonts w:ascii="宋体" w:hAnsi="宋体"/>
      <w:kern w:val="2"/>
    </w:rPr>
  </w:style>
  <w:style w:type="paragraph" w:customStyle="1" w:styleId="58">
    <w:name w:val="标准文件_标准部门"/>
    <w:basedOn w:val="1"/>
    <w:uiPriority w:val="0"/>
    <w:pPr>
      <w:jc w:val="center"/>
    </w:pPr>
    <w:rPr>
      <w:rFonts w:ascii="黑体" w:eastAsia="黑体"/>
      <w:kern w:val="0"/>
      <w:sz w:val="44"/>
    </w:rPr>
  </w:style>
  <w:style w:type="paragraph" w:customStyle="1" w:styleId="59">
    <w:name w:val="标准文件_标准代替"/>
    <w:basedOn w:val="1"/>
    <w:next w:val="1"/>
    <w:uiPriority w:val="0"/>
    <w:pPr>
      <w:spacing w:line="310" w:lineRule="exact"/>
      <w:jc w:val="right"/>
    </w:pPr>
    <w:rPr>
      <w:rFonts w:ascii="宋体" w:hAnsi="宋体"/>
      <w:kern w:val="0"/>
    </w:rPr>
  </w:style>
  <w:style w:type="paragraph" w:customStyle="1" w:styleId="60">
    <w:name w:val="标准文件_标准名称标题"/>
    <w:basedOn w:val="1"/>
    <w:next w:val="1"/>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uiPriority w:val="0"/>
    <w:pPr>
      <w:jc w:val="left"/>
    </w:pPr>
  </w:style>
  <w:style w:type="paragraph" w:customStyle="1" w:styleId="63">
    <w:name w:val="标准文件_参考文献标题"/>
    <w:basedOn w:val="1"/>
    <w:next w:val="1"/>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uiPriority w:val="0"/>
    <w:rPr>
      <w:rFonts w:ascii="黑体" w:eastAsia="黑体"/>
      <w:spacing w:val="0"/>
      <w:w w:val="100"/>
      <w:position w:val="3"/>
      <w:sz w:val="28"/>
    </w:rPr>
  </w:style>
  <w:style w:type="paragraph" w:customStyle="1" w:styleId="67">
    <w:name w:val="标准文件_方框数字列项"/>
    <w:basedOn w:val="56"/>
    <w:uiPriority w:val="0"/>
    <w:pPr>
      <w:numPr>
        <w:ilvl w:val="0"/>
        <w:numId w:val="3"/>
      </w:numPr>
      <w:ind w:firstLine="0" w:firstLineChars="0"/>
    </w:pPr>
  </w:style>
  <w:style w:type="paragraph" w:customStyle="1" w:styleId="68">
    <w:name w:val="标准文件_封面标准编号"/>
    <w:basedOn w:val="1"/>
    <w:next w:val="59"/>
    <w:uiPriority w:val="0"/>
    <w:pPr>
      <w:spacing w:line="310" w:lineRule="exact"/>
      <w:jc w:val="right"/>
    </w:pPr>
    <w:rPr>
      <w:rFonts w:ascii="黑体" w:eastAsia="黑体"/>
      <w:kern w:val="0"/>
      <w:sz w:val="28"/>
    </w:rPr>
  </w:style>
  <w:style w:type="paragraph" w:customStyle="1" w:styleId="69">
    <w:name w:val="标准文件_封面标准分类号"/>
    <w:basedOn w:val="1"/>
    <w:uiPriority w:val="0"/>
    <w:rPr>
      <w:rFonts w:ascii="黑体" w:eastAsia="黑体"/>
      <w:b/>
      <w:kern w:val="0"/>
      <w:sz w:val="28"/>
    </w:rPr>
  </w:style>
  <w:style w:type="paragraph" w:customStyle="1" w:styleId="70">
    <w:name w:val="标准文件_封面标准名称"/>
    <w:basedOn w:val="1"/>
    <w:uiPriority w:val="0"/>
    <w:pPr>
      <w:spacing w:line="240" w:lineRule="auto"/>
      <w:jc w:val="center"/>
    </w:pPr>
    <w:rPr>
      <w:rFonts w:ascii="黑体" w:eastAsia="黑体"/>
      <w:kern w:val="0"/>
      <w:sz w:val="52"/>
    </w:rPr>
  </w:style>
  <w:style w:type="paragraph" w:customStyle="1" w:styleId="71">
    <w:name w:val="标准文件_封面标准英文名称"/>
    <w:basedOn w:val="1"/>
    <w:uiPriority w:val="0"/>
    <w:pPr>
      <w:spacing w:line="240" w:lineRule="auto"/>
      <w:jc w:val="center"/>
    </w:pPr>
    <w:rPr>
      <w:rFonts w:ascii="黑体" w:eastAsia="黑体"/>
      <w:b/>
      <w:sz w:val="28"/>
    </w:rPr>
  </w:style>
  <w:style w:type="paragraph" w:customStyle="1" w:styleId="72">
    <w:name w:val="标准文件_封面发布日期"/>
    <w:basedOn w:val="1"/>
    <w:uiPriority w:val="0"/>
    <w:pPr>
      <w:spacing w:line="310" w:lineRule="exact"/>
    </w:pPr>
    <w:rPr>
      <w:rFonts w:ascii="黑体" w:eastAsia="黑体"/>
      <w:kern w:val="0"/>
      <w:sz w:val="28"/>
    </w:rPr>
  </w:style>
  <w:style w:type="paragraph" w:customStyle="1" w:styleId="73">
    <w:name w:val="标准文件_封面密级"/>
    <w:basedOn w:val="1"/>
    <w:uiPriority w:val="0"/>
    <w:rPr>
      <w:rFonts w:eastAsia="黑体"/>
      <w:sz w:val="32"/>
    </w:rPr>
  </w:style>
  <w:style w:type="paragraph" w:customStyle="1" w:styleId="74">
    <w:name w:val="标准文件_封面实施日期"/>
    <w:basedOn w:val="1"/>
    <w:uiPriority w:val="0"/>
    <w:pPr>
      <w:spacing w:line="310" w:lineRule="exact"/>
      <w:jc w:val="right"/>
    </w:pPr>
    <w:rPr>
      <w:rFonts w:ascii="黑体" w:eastAsia="黑体"/>
      <w:sz w:val="28"/>
    </w:rPr>
  </w:style>
  <w:style w:type="paragraph" w:customStyle="1" w:styleId="75">
    <w:name w:val="标准文件_封面抬头"/>
    <w:basedOn w:val="56"/>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uiPriority w:val="0"/>
    <w:rPr>
      <w:kern w:val="2"/>
      <w:sz w:val="21"/>
      <w:szCs w:val="21"/>
    </w:rPr>
  </w:style>
  <w:style w:type="paragraph" w:customStyle="1" w:styleId="87">
    <w:name w:val="标准文件_附录章标题"/>
    <w:next w:val="56"/>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uiPriority w:val="0"/>
    <w:pPr>
      <w:ind w:left="488" w:leftChars="200" w:hanging="289" w:hangingChars="290"/>
    </w:pPr>
  </w:style>
  <w:style w:type="paragraph" w:customStyle="1" w:styleId="89">
    <w:name w:val="标准文件_前言、引言标题"/>
    <w:next w:val="1"/>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uiPriority w:val="0"/>
    <w:pPr>
      <w:spacing w:line="460" w:lineRule="exact"/>
      <w:ind w:left="0" w:firstLine="0"/>
    </w:pPr>
  </w:style>
  <w:style w:type="paragraph" w:customStyle="1" w:styleId="91">
    <w:name w:val="标准文件_目录标题"/>
    <w:basedOn w:val="1"/>
    <w:uiPriority w:val="0"/>
    <w:pPr>
      <w:spacing w:before="480" w:after="150" w:afterLines="150" w:line="240" w:lineRule="auto"/>
      <w:jc w:val="center"/>
    </w:pPr>
    <w:rPr>
      <w:rFonts w:ascii="黑体" w:eastAsia="黑体"/>
      <w:sz w:val="32"/>
    </w:rPr>
  </w:style>
  <w:style w:type="paragraph" w:customStyle="1" w:styleId="92">
    <w:name w:val="标准文件_破折号列项"/>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uiPriority w:val="0"/>
    <w:pPr>
      <w:numPr>
        <w:numId w:val="10"/>
      </w:numPr>
    </w:pPr>
  </w:style>
  <w:style w:type="paragraph" w:customStyle="1" w:styleId="94">
    <w:name w:val="标准文件_三级条标题"/>
    <w:basedOn w:val="65"/>
    <w:next w:val="56"/>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uiPriority w:val="0"/>
    <w:pPr>
      <w:adjustRightInd/>
      <w:spacing w:line="240" w:lineRule="auto"/>
      <w:ind w:firstLine="200" w:firstLineChars="200"/>
    </w:pPr>
    <w:rPr>
      <w:sz w:val="18"/>
      <w:szCs w:val="24"/>
    </w:rPr>
  </w:style>
  <w:style w:type="paragraph" w:customStyle="1" w:styleId="97">
    <w:name w:val="标准文件_数字编号列项"/>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uiPriority w:val="0"/>
    <w:rPr>
      <w:rFonts w:ascii="宋体"/>
      <w:kern w:val="2"/>
      <w:sz w:val="18"/>
      <w:szCs w:val="18"/>
    </w:rPr>
  </w:style>
  <w:style w:type="paragraph" w:customStyle="1" w:styleId="100">
    <w:name w:val="标准文件_条文脚注"/>
    <w:basedOn w:val="21"/>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uiPriority w:val="0"/>
    <w:pPr>
      <w:numPr>
        <w:ilvl w:val="0"/>
        <w:numId w:val="12"/>
      </w:numPr>
      <w:spacing w:line="240" w:lineRule="auto"/>
      <w:jc w:val="left"/>
    </w:pPr>
    <w:rPr>
      <w:rFonts w:ascii="宋体" w:hAnsi="宋体"/>
      <w:sz w:val="18"/>
    </w:rPr>
  </w:style>
  <w:style w:type="character" w:customStyle="1" w:styleId="102">
    <w:name w:val="标准文件_图表脚注内容"/>
    <w:uiPriority w:val="0"/>
    <w:rPr>
      <w:rFonts w:ascii="宋体" w:hAnsi="宋体" w:eastAsia="宋体" w:cs="Times New Roman"/>
      <w:spacing w:val="0"/>
      <w:sz w:val="18"/>
      <w:vertAlign w:val="superscript"/>
    </w:rPr>
  </w:style>
  <w:style w:type="paragraph" w:customStyle="1" w:styleId="103">
    <w:name w:val="标准文件_五级条标题"/>
    <w:next w:val="56"/>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uiPriority w:val="0"/>
    <w:pPr>
      <w:numPr>
        <w:ilvl w:val="2"/>
      </w:numPr>
      <w:spacing w:before="50" w:beforeLines="50" w:after="50" w:afterLines="50"/>
      <w:outlineLvl w:val="1"/>
    </w:pPr>
  </w:style>
  <w:style w:type="paragraph" w:customStyle="1" w:styleId="106">
    <w:name w:val="标准文件_一致程度"/>
    <w:basedOn w:val="1"/>
    <w:uiPriority w:val="0"/>
    <w:pPr>
      <w:spacing w:line="440" w:lineRule="exact"/>
      <w:jc w:val="center"/>
    </w:pPr>
    <w:rPr>
      <w:sz w:val="28"/>
    </w:rPr>
  </w:style>
  <w:style w:type="paragraph" w:customStyle="1" w:styleId="107">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uiPriority w:val="0"/>
    <w:pPr>
      <w:numPr>
        <w:ilvl w:val="3"/>
        <w:numId w:val="20"/>
      </w:numPr>
      <w:adjustRightInd/>
      <w:spacing w:line="240" w:lineRule="auto"/>
    </w:pPr>
    <w:rPr>
      <w:rFonts w:ascii="宋体" w:hAnsi="宋体"/>
      <w:szCs w:val="24"/>
    </w:rPr>
  </w:style>
  <w:style w:type="paragraph" w:customStyle="1" w:styleId="119">
    <w:name w:val="发布部门"/>
    <w:next w:val="56"/>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uiPriority w:val="0"/>
    <w:pPr>
      <w:outlineLvl w:val="4"/>
    </w:pPr>
  </w:style>
  <w:style w:type="paragraph" w:customStyle="1" w:styleId="130">
    <w:name w:val="附录四级无标题条"/>
    <w:basedOn w:val="129"/>
    <w:next w:val="56"/>
    <w:uiPriority w:val="0"/>
    <w:pPr>
      <w:outlineLvl w:val="5"/>
    </w:pPr>
  </w:style>
  <w:style w:type="paragraph" w:customStyle="1" w:styleId="131">
    <w:name w:val="附录图"/>
    <w:next w:val="56"/>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uiPriority w:val="0"/>
    <w:pPr>
      <w:outlineLvl w:val="6"/>
    </w:pPr>
  </w:style>
  <w:style w:type="paragraph" w:customStyle="1" w:styleId="134">
    <w:name w:val="附录性质"/>
    <w:basedOn w:val="1"/>
    <w:uiPriority w:val="0"/>
    <w:pPr>
      <w:widowControl/>
      <w:adjustRightInd/>
      <w:jc w:val="center"/>
    </w:pPr>
    <w:rPr>
      <w:rFonts w:ascii="黑体" w:eastAsia="黑体"/>
    </w:rPr>
  </w:style>
  <w:style w:type="paragraph" w:customStyle="1" w:styleId="135">
    <w:name w:val="附录一级无标题条"/>
    <w:basedOn w:val="87"/>
    <w:next w:val="56"/>
    <w:uiPriority w:val="0"/>
    <w:pPr>
      <w:autoSpaceDN w:val="0"/>
      <w:outlineLvl w:val="2"/>
    </w:pPr>
    <w:rPr>
      <w:rFonts w:ascii="宋体" w:hAnsi="宋体" w:eastAsia="宋体"/>
    </w:rPr>
  </w:style>
  <w:style w:type="character" w:customStyle="1" w:styleId="136">
    <w:name w:val="个人答复风格"/>
    <w:uiPriority w:val="0"/>
    <w:rPr>
      <w:rFonts w:ascii="Arial" w:hAnsi="Arial" w:eastAsia="宋体" w:cs="Arial"/>
      <w:color w:val="auto"/>
      <w:spacing w:val="0"/>
      <w:sz w:val="20"/>
    </w:rPr>
  </w:style>
  <w:style w:type="character" w:customStyle="1" w:styleId="137">
    <w:name w:val="个人撰写风格"/>
    <w:uiPriority w:val="0"/>
    <w:rPr>
      <w:rFonts w:ascii="Arial" w:hAnsi="Arial" w:eastAsia="宋体" w:cs="Arial"/>
      <w:color w:val="auto"/>
      <w:spacing w:val="0"/>
      <w:sz w:val="20"/>
    </w:rPr>
  </w:style>
  <w:style w:type="paragraph" w:customStyle="1" w:styleId="138">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uiPriority w:val="0"/>
    <w:pPr>
      <w:tabs>
        <w:tab w:val="left" w:pos="840"/>
      </w:tabs>
    </w:pPr>
  </w:style>
  <w:style w:type="paragraph" w:customStyle="1" w:styleId="141">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semiHidden/>
    <w:uiPriority w:val="0"/>
    <w:pPr>
      <w:adjustRightInd/>
      <w:spacing w:line="240" w:lineRule="auto"/>
      <w:jc w:val="left"/>
    </w:pPr>
    <w:rPr>
      <w:bCs/>
      <w:iCs/>
    </w:rPr>
  </w:style>
  <w:style w:type="paragraph" w:customStyle="1" w:styleId="143">
    <w:name w:val="目录 31"/>
    <w:basedOn w:val="1"/>
    <w:next w:val="1"/>
    <w:semiHidden/>
    <w:uiPriority w:val="0"/>
    <w:pPr>
      <w:spacing w:line="240" w:lineRule="auto"/>
    </w:pPr>
    <w:rPr>
      <w:rFonts w:ascii="宋体" w:hAnsi="宋体"/>
      <w:iCs/>
    </w:rPr>
  </w:style>
  <w:style w:type="paragraph" w:customStyle="1" w:styleId="144">
    <w:name w:val="目录 41"/>
    <w:basedOn w:val="1"/>
    <w:next w:val="1"/>
    <w:semiHidden/>
    <w:uiPriority w:val="0"/>
    <w:pPr>
      <w:adjustRightInd/>
      <w:spacing w:line="240" w:lineRule="auto"/>
      <w:jc w:val="left"/>
    </w:pPr>
  </w:style>
  <w:style w:type="paragraph" w:customStyle="1" w:styleId="145">
    <w:name w:val="目录 51"/>
    <w:basedOn w:val="1"/>
    <w:next w:val="1"/>
    <w:semiHidden/>
    <w:uiPriority w:val="0"/>
    <w:pPr>
      <w:spacing w:line="240" w:lineRule="auto"/>
    </w:pPr>
    <w:rPr>
      <w:rFonts w:ascii="宋体" w:hAnsi="宋体"/>
    </w:rPr>
  </w:style>
  <w:style w:type="paragraph" w:customStyle="1" w:styleId="146">
    <w:name w:val="目录 61"/>
    <w:basedOn w:val="1"/>
    <w:next w:val="1"/>
    <w:semiHidden/>
    <w:uiPriority w:val="0"/>
    <w:pPr>
      <w:adjustRightInd/>
      <w:spacing w:line="240" w:lineRule="auto"/>
      <w:jc w:val="left"/>
    </w:pPr>
  </w:style>
  <w:style w:type="paragraph" w:customStyle="1" w:styleId="147">
    <w:name w:val="目录 71"/>
    <w:basedOn w:val="146"/>
    <w:semiHidden/>
    <w:uiPriority w:val="0"/>
    <w:pPr>
      <w:ind w:left="1260"/>
    </w:pPr>
  </w:style>
  <w:style w:type="paragraph" w:customStyle="1" w:styleId="148">
    <w:name w:val="目录 81"/>
    <w:basedOn w:val="147"/>
    <w:semiHidden/>
    <w:uiPriority w:val="0"/>
    <w:pPr>
      <w:ind w:left="1470"/>
    </w:pPr>
  </w:style>
  <w:style w:type="paragraph" w:customStyle="1" w:styleId="149">
    <w:name w:val="目录 91"/>
    <w:basedOn w:val="148"/>
    <w:semiHidden/>
    <w:uiPriority w:val="0"/>
    <w:pPr>
      <w:ind w:left="1680"/>
    </w:pPr>
  </w:style>
  <w:style w:type="paragraph" w:customStyle="1" w:styleId="150">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uiPriority w:val="0"/>
    <w:pPr>
      <w:framePr w:wrap="around"/>
      <w:spacing w:line="0" w:lineRule="atLeast"/>
    </w:pPr>
    <w:rPr>
      <w:rFonts w:ascii="黑体" w:eastAsia="黑体"/>
      <w:b w:val="0"/>
    </w:rPr>
  </w:style>
  <w:style w:type="paragraph" w:customStyle="1" w:styleId="152">
    <w:name w:val="前言标题"/>
    <w:next w:val="1"/>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uiPriority w:val="0"/>
    <w:pPr>
      <w:numPr>
        <w:ilvl w:val="4"/>
        <w:numId w:val="20"/>
      </w:numPr>
      <w:adjustRightInd/>
      <w:spacing w:line="240" w:lineRule="auto"/>
    </w:pPr>
    <w:rPr>
      <w:rFonts w:ascii="宋体" w:hAnsi="宋体"/>
      <w:szCs w:val="24"/>
    </w:rPr>
  </w:style>
  <w:style w:type="paragraph" w:customStyle="1" w:styleId="154">
    <w:name w:val="实施日期"/>
    <w:basedOn w:val="120"/>
    <w:uiPriority w:val="0"/>
    <w:pPr>
      <w:framePr w:hSpace="0" w:wrap="around" w:xAlign="right"/>
      <w:jc w:val="right"/>
    </w:pPr>
  </w:style>
  <w:style w:type="paragraph" w:customStyle="1" w:styleId="155">
    <w:name w:val="四级无标题条"/>
    <w:basedOn w:val="1"/>
    <w:uiPriority w:val="0"/>
    <w:pPr>
      <w:numPr>
        <w:ilvl w:val="5"/>
        <w:numId w:val="20"/>
      </w:numPr>
      <w:adjustRightInd/>
      <w:spacing w:line="240" w:lineRule="auto"/>
    </w:pPr>
    <w:rPr>
      <w:rFonts w:ascii="宋体" w:hAnsi="宋体"/>
      <w:szCs w:val="24"/>
    </w:rPr>
  </w:style>
  <w:style w:type="paragraph" w:customStyle="1" w:styleId="156">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uiPriority w:val="0"/>
    <w:pPr>
      <w:jc w:val="both"/>
    </w:pPr>
    <w:rPr>
      <w:rFonts w:ascii="宋体" w:hAnsi="宋体" w:eastAsia="宋体" w:cs="Times New Roman"/>
      <w:sz w:val="21"/>
      <w:lang w:val="en-US" w:eastAsia="zh-CN" w:bidi="ar-SA"/>
    </w:rPr>
  </w:style>
  <w:style w:type="paragraph" w:customStyle="1" w:styleId="158">
    <w:name w:val="五级无标题条"/>
    <w:basedOn w:val="1"/>
    <w:uiPriority w:val="0"/>
    <w:pPr>
      <w:numPr>
        <w:ilvl w:val="6"/>
        <w:numId w:val="20"/>
      </w:numPr>
      <w:adjustRightInd/>
    </w:pPr>
    <w:rPr>
      <w:szCs w:val="24"/>
    </w:rPr>
  </w:style>
  <w:style w:type="paragraph" w:customStyle="1" w:styleId="159">
    <w:name w:val="一级无标题条"/>
    <w:basedOn w:val="1"/>
    <w:uiPriority w:val="0"/>
    <w:pPr>
      <w:numPr>
        <w:ilvl w:val="2"/>
        <w:numId w:val="20"/>
      </w:numPr>
      <w:adjustRightInd/>
      <w:spacing w:before="10" w:after="10" w:line="240" w:lineRule="auto"/>
    </w:pPr>
    <w:rPr>
      <w:rFonts w:ascii="宋体" w:hAnsi="宋体"/>
      <w:szCs w:val="24"/>
    </w:rPr>
  </w:style>
  <w:style w:type="paragraph" w:customStyle="1" w:styleId="160">
    <w:name w:val="注:后续"/>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uiPriority w:val="0"/>
    <w:rPr>
      <w:rFonts w:ascii="宋体" w:hAnsi="Times New Roman" w:eastAsia="宋体" w:cs="Times New Roman"/>
      <w:sz w:val="21"/>
      <w:lang w:val="en-US" w:eastAsia="zh-CN" w:bidi="ar-SA"/>
    </w:rPr>
  </w:style>
  <w:style w:type="paragraph" w:customStyle="1" w:styleId="172">
    <w:name w:val="标准文件_三级项"/>
    <w:basedOn w:val="1"/>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uiPriority w:val="0"/>
    <w:pPr>
      <w:framePr w:w="3997" w:h="471" w:hRule="exact" w:hSpace="0" w:vSpace="181" w:wrap="around" w:vAnchor="page" w:hAnchor="page" w:x="1419" w:y="14097"/>
    </w:pPr>
  </w:style>
  <w:style w:type="paragraph" w:customStyle="1" w:styleId="194">
    <w:name w:val="其他实施日期"/>
    <w:basedOn w:val="154"/>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uiPriority w:val="0"/>
    <w:rPr>
      <w:rFonts w:ascii="黑体" w:eastAsia="黑体"/>
      <w:spacing w:val="85"/>
      <w:w w:val="100"/>
      <w:position w:val="3"/>
      <w:sz w:val="28"/>
      <w:szCs w:val="28"/>
    </w:rPr>
  </w:style>
  <w:style w:type="paragraph" w:customStyle="1" w:styleId="230">
    <w:name w:val="Normal"/>
    <w:uiPriority w:val="0"/>
    <w:pPr>
      <w:jc w:val="both"/>
    </w:pPr>
    <w:rPr>
      <w:rFonts w:ascii="Calibri" w:hAnsi="Calibri" w:eastAsia="宋体" w:cs="Calibri"/>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glossaryDocument" Target="glossary/document.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0.jpeg"/><Relationship Id="rId23" Type="http://schemas.openxmlformats.org/officeDocument/2006/relationships/image" Target="media/image9.pn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CB38C84BF0F64BFBBA8972CF072405B2"/>
        <w:style w:val=""/>
        <w:category>
          <w:name w:val="常规"/>
          <w:gallery w:val="placeholder"/>
        </w:category>
        <w:types>
          <w:type w:val="bbPlcHdr"/>
        </w:types>
        <w:behaviors>
          <w:behavior w:val="content"/>
        </w:behaviors>
        <w:description w:val=""/>
        <w:guid w:val="{E5E63319-87C7-4104-8C2B-3EDA50512575}"/>
      </w:docPartPr>
      <w:docPartBody>
        <w:p>
          <w:pPr>
            <w:pStyle w:val="5"/>
          </w:pPr>
          <w:r>
            <w:rPr>
              <w:rStyle w:val="4"/>
              <w:rFonts w:hint="eastAsia"/>
            </w:rPr>
            <w:t>单击或点击此处输入文字。</w:t>
          </w:r>
        </w:p>
      </w:docPartBody>
    </w:docPart>
    <w:docPart>
      <w:docPartPr>
        <w:name w:val="B6EA8DD9109A4B6190A9774C30E5278E"/>
        <w:style w:val=""/>
        <w:category>
          <w:name w:val="常规"/>
          <w:gallery w:val="placeholder"/>
        </w:category>
        <w:types>
          <w:type w:val="bbPlcHdr"/>
        </w:types>
        <w:behaviors>
          <w:behavior w:val="content"/>
        </w:behaviors>
        <w:description w:val=""/>
        <w:guid w:val="{FA0B6E64-9369-4408-B410-FAFF0D85AF38}"/>
      </w:docPartPr>
      <w:docPartBody>
        <w:p>
          <w:pPr>
            <w:pStyle w:val="6"/>
          </w:pPr>
          <w:r>
            <w:rPr>
              <w:rStyle w:val="4"/>
              <w:rFonts w:hint="eastAsia"/>
            </w:rPr>
            <w:t>选择一项。</w:t>
          </w:r>
        </w:p>
      </w:docPartBody>
    </w:docPart>
    <w:docPart>
      <w:docPartPr>
        <w:name w:val="2A09CA27C5DD409E9D38C146B96AE953"/>
        <w:style w:val=""/>
        <w:category>
          <w:name w:val="常规"/>
          <w:gallery w:val="placeholder"/>
        </w:category>
        <w:types>
          <w:type w:val="bbPlcHdr"/>
        </w:types>
        <w:behaviors>
          <w:behavior w:val="content"/>
        </w:behaviors>
        <w:description w:val=""/>
        <w:guid w:val="{641A387F-4DED-425F-AB33-D147C7CB2C8E}"/>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6E0C"/>
    <w:rsid w:val="00782EE0"/>
    <w:rsid w:val="00926E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CB38C84BF0F64BFBBA8972CF072405B2"/>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6">
    <w:name w:val="B6EA8DD9109A4B6190A9774C30E5278E"/>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customStyle="1" w:styleId="7">
    <w:name w:val="2A09CA27C5DD409E9D38C146B96AE953"/>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F03465-9310-430F-A8A0-DFC80D2CA8A6}">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13</Pages>
  <Words>4896</Words>
  <Characters>5306</Characters>
  <Lines>671</Lines>
  <Paragraphs>604</Paragraphs>
  <TotalTime>44</TotalTime>
  <ScaleCrop>false</ScaleCrop>
  <LinksUpToDate>false</LinksUpToDate>
  <CharactersWithSpaces>5447</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2024-06-26T13:56:00Z</dcterms:created>
  <dc:creator>Yun Wang</dc:creator>
  <dc:description>&lt;config cover="true" show_menu="true" version="1.0.0" doctype="SDKXY"&gt;_x000d_
&lt;/config&gt;</dc:description>
  <cp:lastModifiedBy>Freude</cp:lastModifiedBy>
  <cp:lastPrinted>2020-08-30T10:00:00Z</cp:lastPrinted>
  <dcterms:modified xsi:type="dcterms:W3CDTF">2024-06-26T14:41:53Z</dcterms:modified>
  <dc:title>地方标准</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2052-11.1.0.12165</vt:lpwstr>
  </property>
  <property fmtid="{D5CDD505-2E9C-101B-9397-08002B2CF9AE}" pid="15" name="ICV">
    <vt:lpwstr>5D985C24AA4F40639DB90538C05C90F2</vt:lpwstr>
  </property>
</Properties>
</file>